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8FCD31" w14:textId="77777777" w:rsidR="001D55D0" w:rsidRDefault="00000000">
      <w:pPr>
        <w:jc w:val="center"/>
      </w:pPr>
      <w:r>
        <w:rPr>
          <w:rFonts w:ascii="Cambria" w:eastAsia="Cambria" w:hAnsi="Cambria" w:cs="Cambria"/>
          <w:b/>
          <w:bCs/>
          <w:color w:val="1E2761"/>
          <w:sz w:val="44"/>
          <w:szCs w:val="44"/>
        </w:rPr>
        <w:t>Using Technology to Create a Persuasive and Compelling Story for All Jurors</w:t>
      </w:r>
    </w:p>
    <w:p w14:paraId="68BF8F37" w14:textId="77777777" w:rsidR="001D55D0" w:rsidRDefault="00000000">
      <w:pPr>
        <w:pBdr>
          <w:bottom w:val="single" w:sz="10" w:space="14" w:color="1E2761"/>
        </w:pBdr>
        <w:spacing w:before="140"/>
        <w:jc w:val="center"/>
      </w:pPr>
      <w:r>
        <w:rPr>
          <w:i/>
          <w:iCs/>
          <w:sz w:val="26"/>
          <w:szCs w:val="26"/>
        </w:rPr>
        <w:t>Connecting with Every Juror, From Selection Through Trial</w:t>
      </w:r>
    </w:p>
    <w:p w14:paraId="17E61696" w14:textId="77777777" w:rsidR="001D55D0" w:rsidRDefault="00000000">
      <w:pPr>
        <w:spacing w:before="360"/>
        <w:jc w:val="center"/>
      </w:pPr>
      <w:r>
        <w:rPr>
          <w:b/>
          <w:bCs/>
          <w:sz w:val="26"/>
          <w:szCs w:val="26"/>
        </w:rPr>
        <w:t>Tad Thomas</w:t>
      </w:r>
      <w:r>
        <w:rPr>
          <w:rStyle w:val="FootnoteReference"/>
        </w:rPr>
        <w:footnoteReference w:id="1"/>
      </w:r>
    </w:p>
    <w:p w14:paraId="70FD37A7" w14:textId="77777777" w:rsidR="001D55D0" w:rsidRDefault="00000000">
      <w:pPr>
        <w:pStyle w:val="Heading1"/>
      </w:pPr>
      <w:r>
        <w:t>I.  Introduction: Technology in Service of the Story—for Every Juror</w:t>
      </w:r>
    </w:p>
    <w:p w14:paraId="3D4D0697" w14:textId="77777777" w:rsidR="001D55D0" w:rsidRDefault="00000000">
      <w:pPr>
        <w:spacing w:after="160" w:line="276" w:lineRule="auto"/>
        <w:jc w:val="both"/>
      </w:pPr>
      <w:r>
        <w:t>Jurors do not experience a case as a series of legal elements. They experience it as a story—and they decide what happened, who is responsible, and what is fair by fitting the evidence into a narrative that makes sense to them. The trial lawyer’s job has always been to give them a story that is clear, credible, and compelling, and to do it in a way that reaches every person in the box: jurors of different ages and generations, different backgrounds and education, and different ways of taking in information. A story that persuades half the panel and loses the other half is not a winning story.</w:t>
      </w:r>
    </w:p>
    <w:p w14:paraId="4F02B189" w14:textId="77777777" w:rsidR="001D55D0" w:rsidRDefault="00000000">
      <w:pPr>
        <w:spacing w:after="160" w:line="276" w:lineRule="auto"/>
        <w:jc w:val="both"/>
      </w:pPr>
      <w:r>
        <w:t>Technology, used well, is one of the most powerful tools we now have for meeting that challenge—and it is far more than artificial intelligence. It includes the presentation software that lets jurors see the story rather than just hear it, the demonstratives that make complexity simple, the plain-and-visual techniques that reach jurors across generations, the everyday business tools that help you organize a voir dire panel in real time, and—yes—the artificial intelligence that can help build, test, and refine a story faster and more cheaply than ever before. The through-line is that technology should serve the story and the connection with the jury, never the reverse. The lawyer still tells the story; the technology helps make sure it is the right story, told clearly, to everyone.</w:t>
      </w:r>
    </w:p>
    <w:p w14:paraId="3561B714" w14:textId="77777777" w:rsidR="001D55D0" w:rsidRDefault="00000000">
      <w:pPr>
        <w:spacing w:after="160" w:line="276" w:lineRule="auto"/>
        <w:jc w:val="both"/>
      </w:pPr>
      <w:r>
        <w:t>It is fair to be skeptical. Trial lawyers are supposed to be skeptical. We are trained to distrust shortcuts, to check everything, and to understand that once you lose credibility—with a judge or a jury—you do not get it back with a software update. That caution applies with special force to artificial intelligence, which is powerful, fast, and tireless, but also capable of confident errors. The discipline is the same for every tool in this paper: it is an aid the lawyer directs, reviews, and stands behind—never a substitute for judgment, and never a replacement for the human connection that decides cases.</w:t>
      </w:r>
    </w:p>
    <w:p w14:paraId="00B939BC" w14:textId="77777777" w:rsidR="001D55D0" w:rsidRDefault="00000000">
      <w:pPr>
        <w:spacing w:after="160" w:line="276" w:lineRule="auto"/>
        <w:jc w:val="both"/>
      </w:pPr>
      <w:r>
        <w:t>This matters most because of who sits in the box. Modern juries are intergenerational and diverse, and the same story can land very differently with a juror in her twenties and a juror in his seventies, with a juror who reads everything and a juror who remembers only what she sees. Connecting with all of them—</w:t>
        <w:lastRenderedPageBreak/>
        <w:t>from the first moments of jury selection through the last word of closing—is the whole challenge, and it is the organizing idea of this paper.</w:t>
      </w:r>
    </w:p>
    <w:p w14:paraId="5CE88F00" w14:textId="77777777" w:rsidR="001D55D0" w:rsidRDefault="00000000">
      <w:pPr>
        <w:spacing w:after="160" w:line="276" w:lineRule="auto"/>
        <w:jc w:val="both"/>
      </w:pPr>
      <w:r>
        <w:rPr>
          <w:b/>
          <w:bCs/>
        </w:rPr>
        <w:t xml:space="preserve">How to use this paper: </w:t>
      </w:r>
      <w:r>
        <w:t>It begins with the most powerful and the most dangerous tool—artificial intelligence—explaining what it is, the ethical guardrails that govern it, and the tools and trial-preparation workflows where it earns its keep. From there it turns to the craft this technology serves: building themes and analogies, telling the story visually, and reaching every juror across generations and backgrounds. The final sections cover testing the story with mock juries and focus groups, using simple technology to select the jury, a few disciplined uses of technology during trial itself, and the habits that separate strong use from sloppy use. The goal is not more technology. It is a more persuasive story, told to the whole jury.</w:t>
      </w:r>
    </w:p>
    <w:p w14:paraId="60C2EB8F" w14:textId="77777777" w:rsidR="001D55D0" w:rsidRDefault="00000000">
      <w:pPr>
        <w:pStyle w:val="Heading1"/>
      </w:pPr>
      <w:r>
        <w:t>II.  Understanding AI: What It Is and Where It Belongs</w:t>
      </w:r>
    </w:p>
    <w:p w14:paraId="30D3BC38" w14:textId="5888D258" w:rsidR="001D55D0" w:rsidRDefault="00000000">
      <w:pPr>
        <w:spacing w:after="160" w:line="276" w:lineRule="auto"/>
        <w:jc w:val="both"/>
      </w:pPr>
      <w:r>
        <w:t>The easiest way to think about artificial intelligence is this: it is neither legal reasoning nor judgment. It is language. At its core, AI is a system that recognizes patterns in how people communicate—how arguments are made, how stories are told, and how ideas are framed—and then predicts what language is most likely to come next. It does not “think” in any meaningful sense, but that is exactly why it can be useful to trial lawyers. Much of what we do instinctively—organizing facts into a story, tightening language, testing whether an explanation makes sense—happens at the level of words and structure. That is where AI can help.</w:t>
      </w:r>
    </w:p>
    <w:p w14:paraId="45E88011" w14:textId="17031A55" w:rsidR="001D55D0" w:rsidRDefault="00000000">
      <w:pPr>
        <w:spacing w:after="160" w:line="276" w:lineRule="auto"/>
        <w:jc w:val="both"/>
      </w:pPr>
      <w:r>
        <w:t>AI earns its keep in three familiar places: consistency, repetition, and framing. It can help lawyers reduce cognitive overload, simplify explanations, and ensure the same themes and facts appear consistently across pleadings, discovery, depositions, and trial preparation. Used like this, AI is not making decisions. It is making sure the choices the lawyer has already made are applied cleanly and consistently across the life of a case.</w:t>
      </w:r>
    </w:p>
    <w:p w14:paraId="0385F036" w14:textId="77777777" w:rsidR="001D55D0" w:rsidRDefault="00000000">
      <w:pPr>
        <w:spacing w:after="160" w:line="276" w:lineRule="auto"/>
        <w:jc w:val="both"/>
      </w:pPr>
      <w:r>
        <w:t>AI will also amplify whatever you give it, for better or worse. That is why experienced trial lawyers should think of AI less as an assistant making decisions and more as a mirror. It forces you to articulate your theory of the case clearly. When an AI-generated summary or explanation sounds confusing or unconvincing, that is usually a sign the underlying case theory needs work—not that the technology failed.</w:t>
      </w:r>
    </w:p>
    <w:p w14:paraId="445CE789" w14:textId="77777777" w:rsidR="001D55D0" w:rsidRDefault="00000000">
      <w:pPr>
        <w:spacing w:after="160" w:line="276" w:lineRule="auto"/>
        <w:jc w:val="both"/>
      </w:pPr>
      <w:r>
        <w:t>Seeing AI clearly also means being honest about its limits. AI cannot read a courtroom. It cannot judge a witness’s tone or react to a juror’s body language. It does not feel moral weight. That is exactly why AI’s value is upstream and between trial sessions—helping you refine, test, analyze, and prepare—while the live advocacy in front of the jury stays human.</w:t>
      </w:r>
    </w:p>
    <w:p w14:paraId="3B2B5B25" w14:textId="77777777" w:rsidR="001D55D0" w:rsidRDefault="00000000">
      <w:pPr>
        <w:pStyle w:val="Heading1"/>
      </w:pPr>
      <w:r>
        <w:t>III.  The Ethical Foundation: Using AI Smartly and Responsibly</w:t>
      </w:r>
    </w:p>
    <w:p w14:paraId="09547542" w14:textId="77777777" w:rsidR="001D55D0" w:rsidRDefault="00000000">
      <w:pPr>
        <w:spacing w:after="160" w:line="276" w:lineRule="auto"/>
        <w:jc w:val="both"/>
      </w:pPr>
      <w:r>
        <w:t>No discussion of AI belongs in a paper addressed to lawyers without discussing ethics. While AI does not create new ethical duties, it magnifies the consequences of ignoring familiar ones.</w:t>
      </w:r>
    </w:p>
    <w:p w14:paraId="4F4555DB" w14:textId="31FBA25A" w:rsidR="00061FFE" w:rsidRDefault="00061FFE">
      <w:pPr>
        <w:spacing w:after="160" w:line="276" w:lineRule="auto"/>
        <w:jc w:val="both"/>
      </w:pPr>
      <w:r>
        <w:rPr>
          <w:rStyle w:val="Strong"/>
        </w:rPr>
        <w:lastRenderedPageBreak/>
        <w:t>Competence.</w:t>
      </w:r>
      <w:r>
        <w:t xml:space="preserve"> Model Rule 1.1 requires competent representation, and since 2012 the rule's official commentary has made clear that competence includes technology. Comment 8 to Rule 1.1 directs that, to maintain the requisite knowledge and skill, a lawyer must "keep abreast of changes in the law and its practice, including the benefits and risks associated with relevant technology." And in 2024 the ABA confirmed that the duty applies squarely to artificial intelligence, advising in Formal Opinion 512 that a lawyer must develop a reasonable understanding of the capabilities and risks of any generative AI tool before using it. For trial lawyers, that cuts both ways: blind reliance on AI output is a competence problem, but so is refusing to understand tools that are now part of modern practice. The safe course is to treat AI-assisted work like any other draft—useful, but never final, and always subject to the lawyer's independent judgment.</w:t>
      </w:r>
    </w:p>
    <w:p w14:paraId="464861FC" w14:textId="407E7B19" w:rsidR="001D55D0" w:rsidRDefault="00000000">
      <w:pPr>
        <w:spacing w:after="160" w:line="276" w:lineRule="auto"/>
        <w:jc w:val="both"/>
      </w:pPr>
      <w:r>
        <w:rPr>
          <w:b/>
          <w:bCs/>
        </w:rPr>
        <w:t xml:space="preserve">Confidentiality. </w:t>
      </w:r>
      <w:r>
        <w:t xml:space="preserve">Model Rule 1.6 prohibits the disclosure of information relating to the representation of a client. Lawyers must know whether an AI tool retains prompts, shares data, or uses inputs to train models. Where confidentiality cannot be affirmatively protected, AI use should be limited to hypotheticals, anonymized facts, or public information. Generally speaking, the paid versions of the applications discussed herein include the necessary protections to comply with attorneys’ confidentiality requirements. </w:t>
      </w:r>
    </w:p>
    <w:p w14:paraId="61E3D3A4" w14:textId="77777777" w:rsidR="001D55D0" w:rsidRDefault="00000000">
      <w:pPr>
        <w:spacing w:after="160" w:line="276" w:lineRule="auto"/>
        <w:jc w:val="both"/>
      </w:pPr>
      <w:r>
        <w:rPr>
          <w:b/>
          <w:bCs/>
        </w:rPr>
        <w:t xml:space="preserve">Candor and verification. </w:t>
      </w:r>
      <w:r>
        <w:t>Model Rule 3.3 makes clear that lawyers are responsible for the truth of what they present to a court. AI-generated errors—fabricated citations, misstated facts, or overconfident summaries—are not technology failures. They are preparation failures. Anything that goes in front of a judge or jury still carries the lawyer’s name.</w:t>
      </w:r>
    </w:p>
    <w:p w14:paraId="7C3B2546" w14:textId="77777777" w:rsidR="001D55D0" w:rsidRDefault="00000000">
      <w:pPr>
        <w:spacing w:after="160" w:line="276" w:lineRule="auto"/>
        <w:jc w:val="both"/>
      </w:pPr>
      <w:r>
        <w:rPr>
          <w:b/>
          <w:bCs/>
        </w:rPr>
        <w:t xml:space="preserve">Supervision. </w:t>
      </w:r>
      <w:r>
        <w:t>Under Model Rules 5.1 and 5.3, lawyers are responsible for the work of those they supervise, including nonlawyer assistance. AI fits squarely in that category. It produces work product that must be reviewed, refined, and sometimes rejected.</w:t>
      </w:r>
    </w:p>
    <w:p w14:paraId="3D02A55C" w14:textId="77777777" w:rsidR="001D55D0" w:rsidRDefault="00000000">
      <w:pPr>
        <w:pStyle w:val="Heading2"/>
      </w:pPr>
      <w:r>
        <w:t>The Verification Imperative: What the Data Shows About Hallucinations</w:t>
      </w:r>
    </w:p>
    <w:p w14:paraId="298E972F" w14:textId="77777777" w:rsidR="001D55D0" w:rsidRDefault="00000000">
      <w:pPr>
        <w:spacing w:after="160" w:line="276" w:lineRule="auto"/>
        <w:jc w:val="both"/>
      </w:pPr>
      <w:r>
        <w:t>The duty of candor is not abstract, and the legal-technology vendors have made it easy to forget. They have marketed AI features aggressively—and overstated their reliability just as aggressively. LexisNexis at one point advertised “100% hallucination-free linked legal citations,” and Thomson Reuters claimed its tools “avoid hallucinations” by relying on trusted content. The first rigorous, independent test of those claims came from Stanford’s RegLab and Institute for Human-Centered AI.</w:t>
      </w:r>
      <w:r>
        <w:rPr>
          <w:rStyle w:val="FootnoteReference"/>
        </w:rPr>
        <w:footnoteReference w:id="2"/>
      </w:r>
    </w:p>
    <w:p w14:paraId="5E4ABAF7" w14:textId="77777777" w:rsidR="001D55D0" w:rsidRDefault="00000000">
      <w:pPr>
        <w:spacing w:after="160" w:line="276" w:lineRule="auto"/>
        <w:jc w:val="both"/>
      </w:pPr>
      <w:r>
        <w:t xml:space="preserve">The findings were sobering. Across more than 200 hand-scored legal queries, the study found that </w:t>
      </w:r>
      <w:r>
        <w:rPr>
          <w:b/>
          <w:bCs/>
        </w:rPr>
        <w:t>Lexis+ AI produced incorrect or misgrounded answers more than 17% of the time, and Westlaw’s AI-Assisted Research hallucinated roughly 33% of the time</w:t>
      </w:r>
      <w:r>
        <w:t xml:space="preserve">—better than the roughly 43% rate for general-purpose GPT-4, but nowhere near “hallucination-free.” Thomson Reuters’ Ask Practical Law AI gave incomplete </w:t>
        <w:lastRenderedPageBreak/>
        <w:t>answers more than 60% of the time. After publication, LexisNexis quietly walked back its “100% hallucination-free” language.</w:t>
      </w:r>
    </w:p>
    <w:p w14:paraId="73F38E36" w14:textId="77777777" w:rsidR="001D55D0" w:rsidRPr="00337FD1" w:rsidRDefault="00000000">
      <w:pPr>
        <w:spacing w:after="160" w:line="276" w:lineRule="auto"/>
        <w:jc w:val="both"/>
      </w:pPr>
      <w:r>
        <w:t>Two fairness caveats belong in any honest discussion of that study. First, it tested versions of these tools as they existed in May 2024, and the products have improved since. Second, retrieval-grounded legal tools do hallucinate meaningfully less than open consumer chatbots. But the practical lesson has not changed and will not change soon: legal-specific AI lowers the error rate; it does not create a safe harbor.</w:t>
      </w:r>
    </w:p>
    <w:p w14:paraId="61A3B0D1" w14:textId="77777777" w:rsidR="001D55D0" w:rsidRDefault="00000000">
      <w:pPr>
        <w:spacing w:after="160" w:line="276" w:lineRule="auto"/>
        <w:jc w:val="both"/>
      </w:pPr>
      <w:r>
        <w:t xml:space="preserve">The sanctions docket proves the point. Courts have imposed real penalties on lawyers who filed AI-fabricated or AI-mangled citations, from the original </w:t>
      </w:r>
      <w:r>
        <w:rPr>
          <w:i/>
          <w:iCs/>
        </w:rPr>
        <w:t>Mata v. Avianca</w:t>
      </w:r>
      <w:r>
        <w:t xml:space="preserve"> through </w:t>
      </w:r>
      <w:r>
        <w:rPr>
          <w:i/>
          <w:iCs/>
        </w:rPr>
        <w:t>Park v. Kim</w:t>
      </w:r>
      <w:r>
        <w:t xml:space="preserve">, </w:t>
      </w:r>
      <w:r>
        <w:rPr>
          <w:i/>
          <w:iCs/>
        </w:rPr>
        <w:t>Kruse v. Karlen</w:t>
      </w:r>
      <w:r>
        <w:t xml:space="preserve">, and </w:t>
      </w:r>
      <w:r>
        <w:rPr>
          <w:i/>
          <w:iCs/>
        </w:rPr>
        <w:t>Wadsworth v. Walmart</w:t>
      </w:r>
      <w:r>
        <w:t xml:space="preserve">. The problem is not limited to consumer chatbots: in </w:t>
      </w:r>
      <w:r>
        <w:rPr>
          <w:i/>
          <w:iCs/>
        </w:rPr>
        <w:t>Lacey v. State Farm</w:t>
      </w:r>
      <w:r>
        <w:t xml:space="preserve">, a court imposed roughly $31,000 in fees on firms whose filings used legal-specific tools (CoCounsel and Westlaw Precision) alongside Google Gemini, and a 2026 Sixth Circuit decision flagged errors in a brief prepared with Westlaw’s CoCounsel. </w:t>
      </w:r>
      <w:r>
        <w:rPr>
          <w:b/>
          <w:bCs/>
        </w:rPr>
        <w:t>The rule is simple: treat every AI-generated citation as unverified until a human has opened the opinion and confirmed the case, the quotation, and its subsequent treatment.</w:t>
      </w:r>
    </w:p>
    <w:p w14:paraId="5FC31DDC" w14:textId="77777777" w:rsidR="001D55D0" w:rsidRDefault="00000000">
      <w:pPr>
        <w:spacing w:after="160" w:line="276" w:lineRule="auto"/>
        <w:jc w:val="both"/>
      </w:pPr>
      <w:r>
        <w:rPr>
          <w:b/>
          <w:bCs/>
        </w:rPr>
        <w:t xml:space="preserve">Practical rule-of-thumb (where ethics becomes real): </w:t>
      </w:r>
      <w:r>
        <w:t>if you cannot explain where the data goes, do not paste it. If you cannot prove it, do not file it. If you would not be comfortable defending it to a judge, do not put your name on it.</w:t>
      </w:r>
    </w:p>
    <w:p w14:paraId="5B5D7C41" w14:textId="77777777" w:rsidR="001D55D0" w:rsidRDefault="00000000">
      <w:pPr>
        <w:pStyle w:val="Heading1"/>
      </w:pPr>
      <w:r>
        <w:t>IV.  General-Purpose AI Tools: Where They Help—and Where They Don’t</w:t>
      </w:r>
    </w:p>
    <w:p w14:paraId="2C74A2B4" w14:textId="77777777" w:rsidR="001D55D0" w:rsidRDefault="00000000">
      <w:pPr>
        <w:spacing w:after="160" w:line="276" w:lineRule="auto"/>
        <w:jc w:val="both"/>
      </w:pPr>
      <w:r>
        <w:t>General-purpose AI tools are foundational, and most lawyers are still only scratching the surface of what they make possible. From drafting routine correspondence to organizing facts and pressure-testing a theory, AI is changing how cases are built, not just how documents are written. The real shift is not automation—it is iteration at scale.</w:t>
      </w:r>
    </w:p>
    <w:p w14:paraId="1192AC1C" w14:textId="77777777" w:rsidR="001D55D0" w:rsidRDefault="00000000">
      <w:pPr>
        <w:spacing w:after="160" w:line="276" w:lineRule="auto"/>
        <w:jc w:val="both"/>
      </w:pPr>
      <w:r>
        <w:t>These tools also evolve quickly. Features change. Privacy settings move. Interfaces get redesigned. A tool that is best today may not be best tomorrow. The habit that matters is not picking a winner once—it is periodically re-checking what your tools do, what settings control data use, and what has changed.</w:t>
      </w:r>
    </w:p>
    <w:p w14:paraId="42E1640C" w14:textId="77777777" w:rsidR="001D55D0" w:rsidRDefault="00000000">
      <w:pPr>
        <w:spacing w:after="160" w:line="276" w:lineRule="auto"/>
        <w:jc w:val="both"/>
      </w:pPr>
      <w:r>
        <w:t>Below are the most common platforms, where they shine, and where caution is required.</w:t>
      </w:r>
    </w:p>
    <w:p w14:paraId="5BC7EAD6" w14:textId="77777777" w:rsidR="001D55D0" w:rsidRDefault="00000000">
      <w:pPr>
        <w:spacing w:after="160" w:line="276" w:lineRule="auto"/>
        <w:jc w:val="both"/>
      </w:pPr>
      <w:r>
        <w:rPr>
          <w:b/>
          <w:bCs/>
        </w:rPr>
        <w:t>ChatGPT — Best for iteration and brainstorming; watch confidentiality settings and accuracy.</w:t>
      </w:r>
    </w:p>
    <w:p w14:paraId="1F8902B7" w14:textId="77777777" w:rsidR="001D55D0" w:rsidRDefault="00000000">
      <w:pPr>
        <w:spacing w:after="160" w:line="276" w:lineRule="auto"/>
        <w:jc w:val="both"/>
      </w:pPr>
      <w:r>
        <w:t>ChatGPT is, for many lawyers, the most flexible tool. Its strength is iteration: exploring multiple versions of summaries, outlines, plain-language explanations, and drafts. Confidentiality is the primary concern—but it is manageable. In consumer-facing versions, prompts and uploads may be retained or used to improve the model. Those concerns can be addressed by using the business or enterprise version and affirmatively disabling the option that allows user inputs to be used for model training. When configured properly, ChatGPT can be used consistently with Model Rule 1.6; Model Rule 1.1 requires understanding these settings rather than assuming defaults; and Model Rule 3.3 requires independent verification of anything used in court.</w:t>
      </w:r>
    </w:p>
    <w:p w14:paraId="6639DA54" w14:textId="77777777" w:rsidR="001D55D0" w:rsidRDefault="00000000">
      <w:pPr>
        <w:spacing w:after="160" w:line="276" w:lineRule="auto"/>
        <w:jc w:val="both"/>
      </w:pPr>
      <w:r>
        <w:rPr>
          <w:b/>
          <w:bCs/>
        </w:rPr>
        <w:lastRenderedPageBreak/>
        <w:t>Claude — Best for long-form coherence and tone; watch version-specific data handling.</w:t>
      </w:r>
    </w:p>
    <w:p w14:paraId="5479BD07" w14:textId="77777777" w:rsidR="001D55D0" w:rsidRDefault="00000000">
      <w:pPr>
        <w:spacing w:after="160" w:line="276" w:lineRule="auto"/>
        <w:jc w:val="both"/>
      </w:pPr>
      <w:r>
        <w:t>Claude tends to be stronger with long documents and tonal discipline. It is useful for summarizing records, identifying through-lines, and keeping language consistent across drafts. Its confidentiality profile depends on how it is accessed: some paid or enterprise versions restrict the use of user data for training, while other versions may retain conversations. Consistent with Model Rule 1.6, verify protections before using real client information.</w:t>
      </w:r>
    </w:p>
    <w:p w14:paraId="5D55A0B0" w14:textId="77777777" w:rsidR="001D55D0" w:rsidRDefault="00000000">
      <w:pPr>
        <w:spacing w:after="160" w:line="276" w:lineRule="auto"/>
        <w:jc w:val="both"/>
      </w:pPr>
      <w:r>
        <w:rPr>
          <w:b/>
          <w:bCs/>
        </w:rPr>
        <w:t>Perplexity — Best for research with sources; watch that it’s not a substitute for a citator.</w:t>
      </w:r>
    </w:p>
    <w:p w14:paraId="39027666" w14:textId="77777777" w:rsidR="001D55D0" w:rsidRDefault="00000000">
      <w:pPr>
        <w:spacing w:after="160" w:line="276" w:lineRule="auto"/>
        <w:jc w:val="both"/>
      </w:pPr>
      <w:r>
        <w:t>Perplexity is less about drafting and more about research, useful for finding and grounding concepts in external literature. Because it typically relies on external sources rather than ingesting case materials, confidentiality risk is lower, though prompts may still be logged. As always, Model Rules 1.1 and 3.3 require verification—and a chatbot is not a citator.</w:t>
      </w:r>
    </w:p>
    <w:p w14:paraId="2E850790" w14:textId="77777777" w:rsidR="001D55D0" w:rsidRDefault="00000000">
      <w:pPr>
        <w:spacing w:after="160" w:line="276" w:lineRule="auto"/>
        <w:jc w:val="both"/>
      </w:pPr>
      <w:r>
        <w:rPr>
          <w:b/>
          <w:bCs/>
        </w:rPr>
        <w:t>Microsoft Copilot / Google Gemini — Best for execution inside documents; watch configuration.</w:t>
      </w:r>
    </w:p>
    <w:p w14:paraId="407FF75B" w14:textId="77777777" w:rsidR="001D55D0" w:rsidRDefault="00000000">
      <w:pPr>
        <w:spacing w:after="160" w:line="276" w:lineRule="auto"/>
        <w:jc w:val="both"/>
      </w:pPr>
      <w:r>
        <w:t>These tools operate inside the environments lawyers already use. They help organize timelines, polish drafts, and improve flow. Their value is executional, not strategic. The ethical analysis turns on configuration: with proper enterprise agreements, user data is typically excluded from model training; without those safeguards, use should be limited to formatting, organization, and non-substantive editing. Model Rules 1.6 and 5.3 apply.</w:t>
      </w:r>
    </w:p>
    <w:p w14:paraId="084121F3" w14:textId="77777777" w:rsidR="001D55D0" w:rsidRDefault="00000000">
      <w:pPr>
        <w:spacing w:after="160" w:line="276" w:lineRule="auto"/>
        <w:jc w:val="both"/>
      </w:pPr>
      <w:r>
        <w:rPr>
          <w:b/>
          <w:bCs/>
        </w:rPr>
        <w:t>NotebookLM — Best for record-based summaries; watch what documents you upload.</w:t>
      </w:r>
    </w:p>
    <w:p w14:paraId="45C00A1E" w14:textId="77777777" w:rsidR="001D55D0" w:rsidRDefault="00000000">
      <w:pPr>
        <w:spacing w:after="160" w:line="276" w:lineRule="auto"/>
        <w:jc w:val="both"/>
      </w:pPr>
      <w:r>
        <w:t>NotebookLM operates on documents supplied by the user and does not incorporate that material into broader model training the way open-ended models can. It can be a useful environment for testing whether a case theory remains coherent when explained solely on the basis of the actual record. Its value in preparation is diagnostic: it exposes gaps early, when they can still be corrected.</w:t>
      </w:r>
    </w:p>
    <w:p w14:paraId="73510C7E" w14:textId="77777777" w:rsidR="001D55D0" w:rsidRDefault="00000000">
      <w:pPr>
        <w:pStyle w:val="Heading1"/>
      </w:pPr>
      <w:r>
        <w:t>V.  Legal-Specific AI Tools for Case Development</w:t>
      </w:r>
    </w:p>
    <w:p w14:paraId="075937B0" w14:textId="77777777" w:rsidR="001D55D0" w:rsidRDefault="00000000">
      <w:pPr>
        <w:spacing w:after="160" w:line="276" w:lineRule="auto"/>
        <w:jc w:val="both"/>
      </w:pPr>
      <w:r>
        <w:t>Legal-specific AI tools are built to work close to the evidence. They ingest medical records, deposition transcripts, discovery responses, and case files, then organize that material so lawyers can see patterns, timelines, and problems earlier and more clearly. Their value lies in factual discipline—keeping the developing case anchored to the record as it grows more complex.</w:t>
      </w:r>
    </w:p>
    <w:p w14:paraId="04B9FC6F" w14:textId="77777777" w:rsidR="001D55D0" w:rsidRDefault="00000000">
      <w:pPr>
        <w:spacing w:after="160" w:line="276" w:lineRule="auto"/>
        <w:jc w:val="both"/>
      </w:pPr>
      <w:r>
        <w:t>These tools evolve constantly, so treat them as moving targets and re-evaluate periodically. A few that matter for plaintiff practice:</w:t>
      </w:r>
    </w:p>
    <w:p w14:paraId="6E15E937" w14:textId="77777777" w:rsidR="001D55D0" w:rsidRDefault="00000000">
      <w:pPr>
        <w:spacing w:after="160" w:line="276" w:lineRule="auto"/>
        <w:jc w:val="both"/>
      </w:pPr>
      <w:r>
        <w:rPr>
          <w:b/>
          <w:bCs/>
        </w:rPr>
        <w:t xml:space="preserve">Eve. </w:t>
      </w:r>
      <w:r>
        <w:t>Used early—particularly in cases involving complex medical issues or layered liability—Eve helps with screening and early case mapping. Its strength is identifying patterns: medical timelines, decision points, omissions, and deviations from expected standards across large records. That early clarity matters because it shapes the case long before discovery closes.</w:t>
      </w:r>
    </w:p>
    <w:p w14:paraId="59A0DA57" w14:textId="77777777" w:rsidR="001D55D0" w:rsidRDefault="00000000">
      <w:pPr>
        <w:spacing w:after="160" w:line="276" w:lineRule="auto"/>
        <w:jc w:val="both"/>
      </w:pPr>
      <w:r>
        <w:rPr>
          <w:b/>
          <w:bCs/>
        </w:rPr>
        <w:lastRenderedPageBreak/>
        <w:t xml:space="preserve">EvenUp. </w:t>
      </w:r>
      <w:r>
        <w:t xml:space="preserve">Focused primarily on damages, EvenUp helps structure economic and non-economic damages around loss, impact, and human consequence rather than abstract numbers—an approach that aligns with long-standing principles reflected in </w:t>
      </w:r>
      <w:r>
        <w:rPr>
          <w:i/>
          <w:iCs/>
        </w:rPr>
        <w:t>Ball on Damages</w:t>
      </w:r>
      <w:r>
        <w:t>. It does not decide what a case is worth; it helps organize and frame the story of damages, and the lawyer remains responsible for the demand.</w:t>
      </w:r>
    </w:p>
    <w:p w14:paraId="0AE52316" w14:textId="77777777" w:rsidR="001D55D0" w:rsidRDefault="00000000">
      <w:pPr>
        <w:spacing w:after="160" w:line="276" w:lineRule="auto"/>
        <w:jc w:val="both"/>
      </w:pPr>
      <w:r>
        <w:rPr>
          <w:b/>
          <w:bCs/>
        </w:rPr>
        <w:t xml:space="preserve">Supio. </w:t>
      </w:r>
      <w:r>
        <w:t>Designed for large-scale document review and fact extraction, Supio’s strength is structure: timelines, inconsistencies, and testimony connected to propositions. It reduces noise and helps lawyers avoid over-inclusion and narrative sprawl.</w:t>
      </w:r>
    </w:p>
    <w:p w14:paraId="137FB08D" w14:textId="77777777" w:rsidR="001D55D0" w:rsidRDefault="00000000">
      <w:pPr>
        <w:spacing w:after="160" w:line="276" w:lineRule="auto"/>
        <w:jc w:val="both"/>
      </w:pPr>
      <w:r>
        <w:t>From an ethical and strategic perspective, legal-specific tools often raise fewer confidentiality concerns than open-ended models when they operate in closed systems with clear contractual restrictions. Even so, confirm how client data is handled and stay alert to changes in platform policies. Responsibility for confidentiality never shifts—and, as the data above shows, neither does the duty to verify.</w:t>
      </w:r>
    </w:p>
    <w:p w14:paraId="24A4D57C" w14:textId="77777777" w:rsidR="001D55D0" w:rsidRDefault="00000000">
      <w:pPr>
        <w:pStyle w:val="Heading1"/>
      </w:pPr>
      <w:r>
        <w:t>VI.  Transforming Trial Preparation: The Core Workflows</w:t>
      </w:r>
    </w:p>
    <w:p w14:paraId="629EBBBA" w14:textId="77777777" w:rsidR="001D55D0" w:rsidRDefault="00000000">
      <w:pPr>
        <w:spacing w:after="160" w:line="276" w:lineRule="auto"/>
        <w:jc w:val="both"/>
      </w:pPr>
      <w:r>
        <w:t>This is where AI pays for itself, because it touches the work that actually builds the case. The goal is simple: use AI to see the record sooner, stay organized, and keep preparation tied to what you must prove. Each workflow below turns hours of manual effort into something you can do early, repeatedly, and cheaply—then verify and refine with your own judgment.</w:t>
      </w:r>
    </w:p>
    <w:p w14:paraId="7E94CBEC" w14:textId="77777777" w:rsidR="001D55D0" w:rsidRDefault="00000000">
      <w:pPr>
        <w:spacing w:after="160" w:line="276" w:lineRule="auto"/>
        <w:jc w:val="both"/>
      </w:pPr>
      <w:r>
        <w:rPr>
          <w:b/>
          <w:bCs/>
        </w:rPr>
        <w:t xml:space="preserve">Intake and early case mapping. </w:t>
      </w:r>
      <w:r>
        <w:t>Use AI to summarize initial records, identify key events, and flag missing information. This helps you see the case clearly before positions harden, and decide early what additional records, witnesses, or consultants you need.</w:t>
      </w:r>
    </w:p>
    <w:p w14:paraId="2D601884" w14:textId="77777777" w:rsidR="001D55D0" w:rsidRDefault="00000000">
      <w:pPr>
        <w:spacing w:after="160" w:line="276" w:lineRule="auto"/>
        <w:jc w:val="both"/>
      </w:pPr>
      <w:r>
        <w:rPr>
          <w:b/>
          <w:bCs/>
        </w:rPr>
        <w:t xml:space="preserve">Record organization and chronology. </w:t>
      </w:r>
      <w:r>
        <w:t>Use AI to build and refine timelines—medical, corporate, maintenance, communications—so the story is anchored to dates and decision points. A clean chronology makes every later step, from depositions to trial prep, faster and sharper.</w:t>
      </w:r>
    </w:p>
    <w:p w14:paraId="5A995C7D" w14:textId="77777777" w:rsidR="001D55D0" w:rsidRDefault="00000000">
      <w:pPr>
        <w:spacing w:after="160" w:line="276" w:lineRule="auto"/>
        <w:jc w:val="both"/>
      </w:pPr>
      <w:r>
        <w:rPr>
          <w:b/>
          <w:bCs/>
        </w:rPr>
        <w:t xml:space="preserve">Discovery planning. </w:t>
      </w:r>
      <w:r>
        <w:t>Use AI to audit your planned written discovery and deposition topics against what you need to prove. If a request does not move the story forward or connect to a proposition you plan to use at trial, it is often noise. AI helps keep discovery purposeful.</w:t>
      </w:r>
    </w:p>
    <w:p w14:paraId="487E0DC3" w14:textId="77777777" w:rsidR="001D55D0" w:rsidRDefault="00000000">
      <w:pPr>
        <w:spacing w:after="160" w:line="276" w:lineRule="auto"/>
        <w:jc w:val="both"/>
      </w:pPr>
      <w:r>
        <w:rPr>
          <w:b/>
          <w:bCs/>
        </w:rPr>
        <w:t xml:space="preserve">Depositions. </w:t>
      </w:r>
      <w:r>
        <w:t>Use AI to (1) generate topic-based outlines tied to propositions, (2) anticipate likely evasions, and (3) organize transcript highlights afterward so admissions do not get buried. This keeps depositions focused and makes motion practice and trial prep far easier.</w:t>
      </w:r>
    </w:p>
    <w:p w14:paraId="26E2D054" w14:textId="77777777" w:rsidR="001D55D0" w:rsidRDefault="00000000">
      <w:pPr>
        <w:spacing w:after="160" w:line="276" w:lineRule="auto"/>
        <w:jc w:val="both"/>
      </w:pPr>
      <w:r>
        <w:rPr>
          <w:b/>
          <w:bCs/>
        </w:rPr>
        <w:t xml:space="preserve">Experts and medical issues. </w:t>
      </w:r>
      <w:r>
        <w:t>Use AI to create clear, plain-language summaries of complex records for internal use, and to identify where records appear inconsistent or incomplete so you can follow up early. (Medical records demand a HIPAA-compliant, non-training tool—never a consumer chatbot.)</w:t>
      </w:r>
    </w:p>
    <w:p w14:paraId="665EDBDD" w14:textId="77777777" w:rsidR="001D55D0" w:rsidRDefault="00000000">
      <w:pPr>
        <w:spacing w:after="160" w:line="276" w:lineRule="auto"/>
        <w:jc w:val="both"/>
      </w:pPr>
      <w:r>
        <w:rPr>
          <w:b/>
          <w:bCs/>
        </w:rPr>
        <w:t xml:space="preserve">Defense narrative preparation. </w:t>
      </w:r>
      <w:r>
        <w:t>Use AI to pressure-test the defense’s likely reframes and identify weak points—especially places where your story could be minimized, individualized, or turned into “accident” language. This helps you prepare rebuttal early without getting reactive.</w:t>
      </w:r>
    </w:p>
    <w:p w14:paraId="602593B6" w14:textId="77777777" w:rsidR="001D55D0" w:rsidRDefault="00000000">
      <w:pPr>
        <w:pStyle w:val="Heading1"/>
      </w:pPr>
      <w:r>
        <w:lastRenderedPageBreak/>
        <w:t>VII.  From Preparation to Persuasion: Building the Story</w:t>
      </w:r>
    </w:p>
    <w:p w14:paraId="1CA09293" w14:textId="77777777" w:rsidR="001D55D0" w:rsidRDefault="00000000">
      <w:pPr>
        <w:spacing w:after="160" w:line="276" w:lineRule="auto"/>
        <w:jc w:val="both"/>
      </w:pPr>
      <w:r>
        <w:t>Preparation is not an end in itself. The payoff of doing the upstream work well is that the story almost tells itself—and AI helps there too, as a quality-control tool rather than a ghostwriter. A well-prepared record makes it far easier to build a theme that is genuinely clear, to refine analogies until they simplify rather than confuse, and to keep openings, closings, and demonstratives aligned with the same facts and rules. The sections that follow turn to that work: building the story, telling it visually, making sure it reaches every juror, and testing it before a verdict is ever read.</w:t>
      </w:r>
    </w:p>
    <w:p w14:paraId="5723C2A1" w14:textId="77777777" w:rsidR="001D55D0" w:rsidRDefault="00000000">
      <w:pPr>
        <w:pStyle w:val="Heading2"/>
      </w:pPr>
      <w:r>
        <w:t>Themes</w:t>
      </w:r>
    </w:p>
    <w:p w14:paraId="11EE814B" w14:textId="77777777" w:rsidR="001D55D0" w:rsidRDefault="00000000">
      <w:pPr>
        <w:spacing w:after="160" w:line="276" w:lineRule="auto"/>
        <w:jc w:val="both"/>
      </w:pPr>
      <w:r>
        <w:t>Effective trial themes are the organizing principles jurors use to make sense of everything else. A theme must be simple, durable, and consistent enough to carry the case from voir dire through closing. Technology does not change how themes work—it changes how efficiently lawyers can build, test, and refine them.</w:t>
      </w:r>
    </w:p>
    <w:p w14:paraId="05E2D5D1" w14:textId="77777777" w:rsidR="001D55D0" w:rsidRDefault="00000000">
      <w:pPr>
        <w:spacing w:after="160" w:line="276" w:lineRule="auto"/>
        <w:jc w:val="both"/>
      </w:pPr>
      <w:r>
        <w:t>AI is most useful in theme development as a clarity test. When you ask an AI tool to articulate a theme, it exposes whether the idea is actually clear or whether it only feels clear because you have lived with the case. If it cannot be stated simply, it will not survive trial—and it certainly will not survive contact with a juror who is hearing the facts for the first time. AI helps strip themes down before they harden into something diluted.</w:t>
      </w:r>
    </w:p>
    <w:p w14:paraId="6A3175E9" w14:textId="77777777" w:rsidR="001D55D0" w:rsidRDefault="00000000">
      <w:pPr>
        <w:spacing w:after="160" w:line="276" w:lineRule="auto"/>
        <w:jc w:val="both"/>
      </w:pPr>
      <w:r>
        <w:t xml:space="preserve">AI can also enforce discipline inside established frameworks. Used with </w:t>
      </w:r>
      <w:r>
        <w:rPr>
          <w:i/>
          <w:iCs/>
        </w:rPr>
        <w:t>Reptile</w:t>
      </w:r>
      <w:r>
        <w:t xml:space="preserve">, it can help identify safety rules and test whether they are simple, universal, and prevention-focused. Used with </w:t>
      </w:r>
      <w:r>
        <w:rPr>
          <w:i/>
          <w:iCs/>
        </w:rPr>
        <w:t>Rules of the Road</w:t>
      </w:r>
      <w:r>
        <w:t>, it can translate standards into plain rules and keep them consistent across trial phases. The work of Greg Cusimano and David Wenner adds another layer—credibility and restraint—and AI is particularly good at flagging overstatement, emotional excess, and unnecessary complexity.</w:t>
      </w:r>
    </w:p>
    <w:p w14:paraId="06855453" w14:textId="77777777" w:rsidR="001D55D0" w:rsidRDefault="00000000">
      <w:pPr>
        <w:pStyle w:val="Heading2"/>
      </w:pPr>
      <w:r>
        <w:t>Analogies</w:t>
      </w:r>
    </w:p>
    <w:p w14:paraId="44009E1D" w14:textId="77777777" w:rsidR="001D55D0" w:rsidRDefault="00000000">
      <w:pPr>
        <w:spacing w:after="160" w:line="276" w:lineRule="auto"/>
        <w:jc w:val="both"/>
      </w:pPr>
      <w:r>
        <w:t>Analogies help jurors understand unfamiliar facts by connecting them to everyday experience. When they work, they simplify complexity and make responsibility easier to see. When they don’t, they confuse, distract, or undermine credibility. AI helps lawyers get to good analogies faster and avoid the bad ones by accelerating iteration—generating multiple ways to explain the same concept, stress-testing where an analogy breaks, and rewriting it in simpler language.</w:t>
      </w:r>
    </w:p>
    <w:p w14:paraId="66BE8D95" w14:textId="77777777" w:rsidR="001D55D0" w:rsidRDefault="00000000">
      <w:pPr>
        <w:spacing w:after="160" w:line="276" w:lineRule="auto"/>
        <w:jc w:val="both"/>
      </w:pPr>
      <w:r>
        <w:t xml:space="preserve">Within </w:t>
      </w:r>
      <w:r>
        <w:rPr>
          <w:i/>
          <w:iCs/>
        </w:rPr>
        <w:t>Reptile</w:t>
      </w:r>
      <w:r>
        <w:t xml:space="preserve">, analogies can frame conduct as a choice that creates unnecessary danger rather than an unavoidable accident. Within </w:t>
      </w:r>
      <w:r>
        <w:rPr>
          <w:i/>
          <w:iCs/>
        </w:rPr>
        <w:t>Rules of the Road</w:t>
      </w:r>
      <w:r>
        <w:t>, they translate standards into expectations jurors already live by. Cusimano and Wenner’s emphasis on restraint matters here too: analogies should clarify, not dramatize. And as the next sections stress, the best analogy is one that lands across the whole panel—so an analogy that depends on a narrow cultural or professional reference should be tested, broadened, or replaced.</w:t>
      </w:r>
    </w:p>
    <w:p w14:paraId="374A7F2C" w14:textId="77777777" w:rsidR="001D55D0" w:rsidRDefault="00000000">
      <w:pPr>
        <w:pStyle w:val="Heading1"/>
      </w:pPr>
      <w:r>
        <w:lastRenderedPageBreak/>
        <w:t>VIII.  Telling the Story Visually: Presentation Technology and Demonstratives</w:t>
      </w:r>
    </w:p>
    <w:p w14:paraId="3FFD7FFE" w14:textId="77777777" w:rsidR="001D55D0" w:rsidRDefault="00000000">
      <w:pPr>
        <w:spacing w:after="160" w:line="276" w:lineRule="auto"/>
        <w:jc w:val="both"/>
      </w:pPr>
      <w:r>
        <w:t>Jurors increasingly expect to see a case, not just hear it—and visual storytelling is also one of the most effective ways to reach jurors who learn by seeing rather than listening. Trial-presentation technology used to mean an expensive system and a hired technician. It no longer does, and the tools below put professional visual storytelling within reach of a solo or small firm.</w:t>
      </w:r>
    </w:p>
    <w:p w14:paraId="4F8B5123" w14:textId="77777777" w:rsidR="00337FD1" w:rsidRPr="00337FD1" w:rsidRDefault="00337FD1" w:rsidP="00337FD1">
      <w:pPr>
        <w:pStyle w:val="font-claude-response-body"/>
        <w:spacing w:before="0" w:beforeAutospacing="0" w:after="160" w:afterAutospacing="0" w:line="276" w:lineRule="auto"/>
        <w:rPr>
          <w:rFonts w:ascii="Calibri" w:hAnsi="Calibri" w:cs="Calibri"/>
          <w:sz w:val="22"/>
          <w:szCs w:val="22"/>
        </w:rPr>
      </w:pPr>
      <w:r>
        <w:rPr>
          <w:rStyle w:val="Strong"/>
          <w:rFonts w:ascii="Calibri" w:hAnsi="Calibri" w:cs="Calibri"/>
          <w:sz w:val="22"/>
          <w:szCs w:val="22"/>
        </w:rPr>
        <w:t>Demonstratives without a vendor.</w:t>
      </w:r>
      <w:r>
        <w:rPr>
          <w:rFonts w:ascii="Calibri" w:hAnsi="Calibri" w:cs="Calibri"/>
          <w:sz w:val="22"/>
          <w:szCs w:val="22"/>
        </w:rPr>
        <w:t xml:space="preserve"> The software most firms already own will carry the heaviest load. PowerPoint and Keynote are fully capable of professional demonstratives—timelines, annotated documents, photo callouts, side-by-side comparisons, and animated "builds" that reveal a sequence one step at a time so the jury follows the story rather than reading ahead. Google Slides does the same for free and lets co-counsel or a consultant work on the same deck in real time. For anything that needs to look polished without design skills—settlement brochures, mediation infographics, a clean one-page case summary—Canva (free, with a Pro tier around $15 per month) offers professional templates and drag-and-drop layouts that used to require a graphics shop.</w:t>
      </w:r>
    </w:p>
    <w:p w14:paraId="2EB47EF6" w14:textId="77777777" w:rsidR="00337FD1" w:rsidRPr="00337FD1" w:rsidRDefault="00337FD1" w:rsidP="00337FD1">
      <w:pPr>
        <w:pStyle w:val="font-claude-response-body"/>
        <w:spacing w:before="0" w:beforeAutospacing="0" w:after="160" w:afterAutospacing="0" w:line="276" w:lineRule="auto"/>
        <w:rPr>
          <w:rFonts w:ascii="Calibri" w:hAnsi="Calibri" w:cs="Calibri"/>
          <w:sz w:val="22"/>
          <w:szCs w:val="22"/>
        </w:rPr>
      </w:pPr>
      <w:r>
        <w:rPr>
          <w:rFonts w:ascii="Calibri" w:hAnsi="Calibri" w:cs="Calibri"/>
          <w:sz w:val="22"/>
          <w:szCs w:val="22"/>
        </w:rPr>
        <w:t>For data and structure, a second set of tools earns its keep. Charts that make damages or causation tangible—a wage-loss projection, a medication timeline, a dose-response curve—can be built in Excel or Google Sheets, and free web tools like Datawrapper and Flourish turn the same numbers into clean, jury-ready graphics with far less clutter than a default spreadsheet chart. When the story is about relationships rather than numbers—a corporate org chart, a chain of custody, a decision tree showing the choices that created risk—free diagramming tools such as draw.io (diagrams.net) and Lucidchart (free tier; paid plans around $8 per month) produce clear flowcharts and structure diagrams in minutes. None of these requires a vendor, a designer, or a five-figure trial-graphics budget.</w:t>
      </w:r>
    </w:p>
    <w:p w14:paraId="5D7775A3" w14:textId="7DA49E09" w:rsidR="00337FD1" w:rsidRPr="00337FD1" w:rsidRDefault="00337FD1" w:rsidP="00337FD1">
      <w:pPr>
        <w:pStyle w:val="font-claude-response-body"/>
        <w:spacing w:before="0" w:beforeAutospacing="0" w:after="160" w:afterAutospacing="0" w:line="276" w:lineRule="auto"/>
        <w:rPr>
          <w:rFonts w:ascii="Calibri" w:hAnsi="Calibri" w:cs="Calibri"/>
          <w:sz w:val="22"/>
          <w:szCs w:val="22"/>
        </w:rPr>
      </w:pPr>
      <w:r>
        <w:rPr>
          <w:rFonts w:ascii="Calibri" w:hAnsi="Calibri" w:cs="Calibri"/>
          <w:sz w:val="22"/>
          <w:szCs w:val="22"/>
        </w:rPr>
        <w:t>Most striking is how much of this work AI can now do directly from the record. In one of our cases, we used Claude to analyze a voluminous medical chart, identify gaps in the records—assessments and monitoring that should have been there but were not—and turn that analysis into a single visual that showed the jury exactly where the care fell off. In the same case, we had Claude take the patient's documented weights and build a graph of the weight loss over time, converting a column of numbers buried deep in the chart into one image that made the decline impossible to miss. The lesson is not that AI decides what the exhibit should say; it is that a lawyer can now move from raw records to a working draft of a demonstrative in minutes rather than weeks. Two cautions travel with that power: every AI-built exhibit must be checked against the underlying record—the chart, the dates, the numbers—before it is shown to anyone, and any demonstrative still needs a proper evidentiary foundation before it reaches the jury. Used that way, AI does not just illustrate the story; it helps you find the story in the record, and then show it.</w:t>
      </w:r>
    </w:p>
    <w:p w14:paraId="2B6FE36E" w14:textId="77777777" w:rsidR="001D55D0" w:rsidRDefault="00000000">
      <w:pPr>
        <w:spacing w:after="160" w:line="276" w:lineRule="auto"/>
        <w:jc w:val="both"/>
      </w:pPr>
      <w:r>
        <w:rPr>
          <w:b/>
          <w:bCs/>
        </w:rPr>
        <w:t xml:space="preserve">Timelines and chronology. </w:t>
      </w:r>
      <w:r>
        <w:t>Knight Lab’s TimelineJS (free) builds interactive, web-based case chronologies—an effective way to show a sequence of events and decision points jurors can follow at a glance.</w:t>
      </w:r>
    </w:p>
    <w:p w14:paraId="7E74B33F" w14:textId="77777777" w:rsidR="001D55D0" w:rsidRDefault="00000000">
      <w:pPr>
        <w:spacing w:after="160" w:line="276" w:lineRule="auto"/>
        <w:jc w:val="both"/>
      </w:pPr>
      <w:r>
        <w:rPr>
          <w:b/>
          <w:bCs/>
        </w:rPr>
        <w:lastRenderedPageBreak/>
        <w:t xml:space="preserve">Scene visualization. </w:t>
      </w:r>
      <w:r>
        <w:t>Google Earth Pro (free) is badly under-used by plaintiff lawyers: it provides accident-scene aerials, historical imagery, distance and sightline measurement, and Street View walk-throughs that put a jury at the scene.</w:t>
      </w:r>
    </w:p>
    <w:p w14:paraId="5E0D723E" w14:textId="77777777" w:rsidR="001D55D0" w:rsidRDefault="00000000">
      <w:pPr>
        <w:spacing w:after="160" w:line="276" w:lineRule="auto"/>
        <w:jc w:val="both"/>
      </w:pPr>
      <w:r>
        <w:rPr>
          <w:b/>
          <w:bCs/>
        </w:rPr>
        <w:t xml:space="preserve">Video. </w:t>
      </w:r>
      <w:r>
        <w:t>Descript (free tier; around $15 per month) lets you edit video by editing its transcript—trimming a deposition clip or assembling a short demonstrative video without a technician.</w:t>
      </w:r>
    </w:p>
    <w:p w14:paraId="44E4A631" w14:textId="77777777" w:rsidR="001D55D0" w:rsidRDefault="00000000">
      <w:pPr>
        <w:spacing w:after="160" w:line="276" w:lineRule="auto"/>
        <w:jc w:val="both"/>
      </w:pPr>
      <w:r>
        <w:rPr>
          <w:b/>
          <w:bCs/>
        </w:rPr>
        <w:t xml:space="preserve">YouTube. </w:t>
      </w:r>
      <w:r>
        <w:t>Few lawyers think of YouTube as a storytelling resource, but it is a free source of illustrative footage—animations showing how an injury mechanism, surgery, or piece of machinery works—and of a defendant’s own public promotional, safety, and training videos. Mind the rules of evidence (relevance, authentication, hearsay, and demonstrative-versus-substantive use), and follow the cardinal rule of any courtroom video: download the clip and play it locally; never rely on a live internet connection at trial.</w:t>
      </w:r>
    </w:p>
    <w:p w14:paraId="2E3D8620" w14:textId="77777777" w:rsidR="001D55D0" w:rsidRDefault="00000000">
      <w:pPr>
        <w:pStyle w:val="Heading1"/>
      </w:pPr>
      <w:r>
        <w:t>IX.  Reaching All Jurors: Intergenerational and Diverse Panels, Accessibility, and Bias</w:t>
      </w:r>
    </w:p>
    <w:p w14:paraId="094F4BE6" w14:textId="77777777" w:rsidR="001D55D0" w:rsidRDefault="00000000">
      <w:pPr>
        <w:spacing w:after="160" w:line="276" w:lineRule="auto"/>
        <w:jc w:val="both"/>
      </w:pPr>
      <w:r>
        <w:t>Modern juries are diverse—in background, education, age, generation, language, life experience, and the way each person takes in information. A story that persuades the foreperson but loses three other jurors is not a winning story. Reaching all jurors is a discipline, and it runs in several directions: clarity, accessibility, generational and cultural breadth, and a clear-eyed awareness of bias—including the bias built into the AI tools themselves.</w:t>
      </w:r>
    </w:p>
    <w:p w14:paraId="421F7AF7" w14:textId="77777777" w:rsidR="001D55D0" w:rsidRDefault="00000000">
      <w:pPr>
        <w:spacing w:after="160" w:line="276" w:lineRule="auto"/>
        <w:jc w:val="both"/>
      </w:pPr>
      <w:r>
        <w:rPr>
          <w:b/>
          <w:bCs/>
        </w:rPr>
        <w:t xml:space="preserve">Clarity for every education level. </w:t>
      </w:r>
      <w:r>
        <w:t>A story that requires a college vocabulary excludes jurors who do not have one. Plain-language tools—Hemingway Editor (free on the web; about $20 for the desktop app) is the best known—strip jargon, shorten sentences, and flag passages that read above a general audience. The goal is writing and speaking that the juror with the least formal education follows as easily as the juror with the most.</w:t>
      </w:r>
    </w:p>
    <w:p w14:paraId="4CBD295A" w14:textId="77777777" w:rsidR="001D55D0" w:rsidRDefault="00000000">
      <w:pPr>
        <w:spacing w:after="160" w:line="276" w:lineRule="auto"/>
        <w:jc w:val="both"/>
      </w:pPr>
      <w:r>
        <w:rPr>
          <w:b/>
          <w:bCs/>
        </w:rPr>
        <w:t xml:space="preserve">Accessibility in the design itself. </w:t>
      </w:r>
      <w:r>
        <w:t>Visual storytelling only works if every juror can actually perceive it. That means large, legible fonts; high color contrast; captions on video for jurors who are hard of hearing; and clean, uncluttered demonstratives that an older juror or a juror with limited vision can read from the box. These are small choices that decide whether a demonstrative reaches twelve jurors or eight. Visuals also carry a quiet advantage here: a clear image, timeline, or animation can communicate across differences in literacy and language in a way that dense text cannot.</w:t>
      </w:r>
    </w:p>
    <w:p w14:paraId="0FE83073" w14:textId="77777777" w:rsidR="001D55D0" w:rsidRDefault="00000000">
      <w:pPr>
        <w:spacing w:after="160" w:line="276" w:lineRule="auto"/>
        <w:jc w:val="both"/>
      </w:pPr>
      <w:r>
        <w:rPr>
          <w:b/>
          <w:bCs/>
        </w:rPr>
        <w:t xml:space="preserve">Cultural breadth in the references you choose. </w:t>
      </w:r>
      <w:r>
        <w:t>Analogies and examples are only persuasive if the juror shares the reference. An analogy built on a particular sport, financial concept, hobby, or tradition may connect with part of the panel and exclude the rest. Choosing references that cut across backgrounds—and testing them, as the next section describes—is how a story stays compelling for everyone rather than for the jurors most like the lawyer.</w:t>
      </w:r>
    </w:p>
    <w:p w14:paraId="59975B95" w14:textId="77777777" w:rsidR="001D55D0" w:rsidRDefault="00000000">
      <w:pPr>
        <w:spacing w:after="160" w:line="276" w:lineRule="auto"/>
        <w:jc w:val="both"/>
      </w:pPr>
      <w:r>
        <w:rPr>
          <w:b/>
          <w:bCs/>
        </w:rPr>
        <w:t xml:space="preserve">Connecting across generations. </w:t>
      </w:r>
      <w:r>
        <w:t xml:space="preserve">A modern panel can span more than half a century of life experience, and generations differ not only in their cultural touchstones but in how they take in information and what they instinctively trust. A reference or analogy that is second nature to one generation can be opaque to </w:t>
        <w:lastRenderedPageBreak/>
        <w:t>another; a juror who grew up on television processes a visual demonstrative differently than one who grew up on a phone, or one who grew up on neither. The goal is not to chase any single generation’s style but to tell the story in ways that connect across all of them—clear language, strong visuals, and references broad enough that no juror, young or old, feels the story was built for someone else.</w:t>
      </w:r>
    </w:p>
    <w:p w14:paraId="1EA138A0" w14:textId="77777777" w:rsidR="001D55D0" w:rsidRDefault="00000000">
      <w:pPr>
        <w:spacing w:after="160" w:line="276" w:lineRule="auto"/>
        <w:jc w:val="both"/>
      </w:pPr>
      <w:r>
        <w:rPr>
          <w:b/>
          <w:bCs/>
        </w:rPr>
        <w:t xml:space="preserve">The bias problem in AI itself. </w:t>
      </w:r>
      <w:r>
        <w:t>There is a sharp irony worth naming. AI is a powerful tool for crafting juror-facing language, but the models are trained on enormous bodies of text that reflect majority-culture assumptions. Ask an AI tool for analogies, themes, or voir dire language and it will often hand back exactly the kind of narrow, default reference that loses part of a diverse panel—delivered fluently and confidently. AI will not tell you that an analogy assumes a suburban, English-first, middle-class frame of reference; it will simply produce it. The discipline is to treat AI-generated juror-facing language as a first draft to be screened for cultural blind spots, not a finished product. Do not outsource cultural judgment to a model. Use AI to generate options, then apply your own judgment—and your testing—to decide which ones actually reach all twelve.</w:t>
      </w:r>
    </w:p>
    <w:p w14:paraId="2A060F45" w14:textId="77777777" w:rsidR="001D55D0" w:rsidRDefault="00000000">
      <w:pPr>
        <w:pStyle w:val="Heading1"/>
      </w:pPr>
      <w:r>
        <w:t>X.  Testing the Story: AI Mock Juries and Focus Groups</w:t>
      </w:r>
    </w:p>
    <w:p w14:paraId="458485EF" w14:textId="77777777" w:rsidR="001D55D0" w:rsidRDefault="00000000">
      <w:pPr>
        <w:spacing w:after="160" w:line="276" w:lineRule="auto"/>
        <w:jc w:val="both"/>
      </w:pPr>
      <w:r>
        <w:t>The only reliable way to know whether a story reaches all jurors is to test it on people who are not you. Traditional jury research has always been the clearest example of the resource gap: a full mock trial or focus group typically runs from roughly $10,000 to $25,000 on the modest end and $40,000 to $100,000 for large-scale studies—pricing that put frequent testing out of reach for solos and effectively reserved it for well-funded defense firms. AI and inexpensive online panels have changed that, and used together they form a testing workflow no small firm could have afforded a few years ago.</w:t>
      </w:r>
    </w:p>
    <w:p w14:paraId="081300B0" w14:textId="77777777" w:rsidR="001D55D0" w:rsidRDefault="00000000">
      <w:pPr>
        <w:pStyle w:val="Heading2"/>
      </w:pPr>
      <w:r>
        <w:t>Using AI Mock Juries to Find Themes and Tune Your Language</w:t>
      </w:r>
    </w:p>
    <w:p w14:paraId="5C0E11C3" w14:textId="77777777" w:rsidR="001D55D0" w:rsidRDefault="00000000">
      <w:pPr>
        <w:spacing w:after="160" w:line="276" w:lineRule="auto"/>
        <w:jc w:val="both"/>
      </w:pPr>
      <w:r>
        <w:t>AI-powered jury simulation is the fastest, cheapest way to pressure-test a story. Platforms such as Viewpoints AI, JurySimulator, and VerdictHub generate “synthetic” jurors—AI personas tuned to a venue’s demographic and attitudinal profile—then let you present your evidence, opening, or key themes and watch the simulated panel react. The output arrives in minutes rather than months, at a small fraction of the cost of a live study, and you can run it as many times as you want.</w:t>
      </w:r>
    </w:p>
    <w:p w14:paraId="5C0E11D0" w14:textId="77777777" w:rsidR="001D55D0" w:rsidRDefault="00000000">
      <w:pPr>
        <w:spacing w:after="160" w:line="276" w:lineRule="auto"/>
        <w:jc w:val="both"/>
      </w:pPr>
      <w:r>
        <w:t>You do not need a dedicated platform to begin. A general-purpose model such as ChatGPT or Claude can be prompted to convene a panel on demand: describe your venue and the range of jurors you expect—their ages, occupations, attitudes, and life experiences—and ask the model to react to your opening, your themes, or a single analogy in the voice of each juror, explaining what landed, what confused them, and where each one began to doubt you. Because these models are built for language and tone, they are especially good at flagging a word or framing that reads differently to different people. Dedicated legal-AI platforms can play a complementary role: because tools like Eve and Supio already hold your records, chronology, and discovery, they can help surface the themes that actually arise from the proof and test your framing against the facts of your own case rather than a generic scenario. Whichever tool you use, read its output with the same skepticism you would bring to any focus group—it is a fast way to generate hypotheses, not a verdict.</w:t>
      </w:r>
    </w:p>
    <w:p w14:paraId="22CC5E07" w14:textId="77777777" w:rsidR="001D55D0" w:rsidRDefault="00000000">
      <w:pPr>
        <w:spacing w:after="160" w:line="276" w:lineRule="auto"/>
        <w:jc w:val="both"/>
      </w:pPr>
      <w:r>
        <w:t>For storytelling, the highest-value use is theme discovery and language tuning. Run the same opening or case theme past synthetic jurors representing different segments of your venire and watch which themes resonate, which fall flat, and—critically—which words and phrases confuse, alienate, or read differently than you intended. A term that feels neutral to a lawyer may carry baggage for part of the panel; an analogy that lands with one segment may miss another entirely. AI mock juries let you find those problems early and adjust your terminology so the same story reaches a banker, a nurse, a retired teacher, and a warehouse worker alike. This is where “for all jurors” stops being an aspiration and becomes a testable, fixable feature of your presentation.</w:t>
      </w:r>
    </w:p>
    <w:p w14:paraId="153FF382" w14:textId="77777777" w:rsidR="001D55D0" w:rsidRDefault="00000000">
      <w:pPr>
        <w:pStyle w:val="Heading2"/>
      </w:pPr>
      <w:r>
        <w:lastRenderedPageBreak/>
        <w:t>Modeling the Actual Jury—and Comparing It to Your Mock Panel</w:t>
      </w:r>
    </w:p>
    <w:p w14:paraId="516D8835" w14:textId="77777777" w:rsidR="001D55D0" w:rsidRDefault="00000000">
      <w:pPr>
        <w:spacing w:after="160" w:line="276" w:lineRule="auto"/>
        <w:jc w:val="both"/>
      </w:pPr>
      <w:r>
        <w:t>Testing is only as good as the panel you test against. One of the more powerful emerging uses of AI is building a model of the actual seated jury and comparing it to the mock panel you used in preparation. Working only from what you may properly consider—juror questionnaires, voir dire answers, and publicly available information—AI can help you assemble attitudinal and demographic profiles of the real jurors, then measure them against the synthetic panel you prepared with. Where the two align, your prepared themes and language should hold. Where they diverge—an actual panel that skews older, or more skeptical of corporations, or less familiar with the industry than your mock jury assumed—you have an early, specific warning to adjust emphasis, swap an analogy, or retune language before opening rather than after the verdict.</w:t>
      </w:r>
    </w:p>
    <w:p w14:paraId="720F4C0A" w14:textId="77777777" w:rsidR="001D55D0" w:rsidRDefault="00000000">
      <w:pPr>
        <w:spacing w:after="160" w:line="276" w:lineRule="auto"/>
        <w:jc w:val="both"/>
      </w:pPr>
      <w:r>
        <w:t>The richer the input, the sharper the model. In addition to the written juror questionnaires, order a transcript of the voir dire and feed it in alongside them. The questionnaire tells you what a juror wrote in a box; the selection transcript captures what they actually said, how they answered your follow-up questions, and the small exchanges that reveal attitude and leaning. The more you can assemble—the questionnaires, the selection transcript, and any public information you may properly consider—the more reliable the comparison to your mock panel becomes. More information is almost always better, provided every source is one you are permitted to use.</w:t>
      </w:r>
    </w:p>
    <w:p w14:paraId="720F4C1E" w14:textId="77777777" w:rsidR="001D55D0" w:rsidRDefault="00000000">
      <w:pPr>
        <w:spacing w:after="160" w:line="276" w:lineRule="auto"/>
        <w:jc w:val="both"/>
      </w:pPr>
      <w:r>
        <w:t xml:space="preserve">Two cautions are essential. First, this is a strategy aid built on limited and imperfect information; it models probabilities, not people, and it must never harden into stereotype. Second, the ethics of juror research are strict. Under </w:t>
      </w:r>
      <w:r>
        <w:rPr>
          <w:b/>
          <w:bCs/>
        </w:rPr>
        <w:t>ABA Formal Opinion 466</w:t>
      </w:r>
      <w:r>
        <w:t>, a lawyer may review publicly available juror information but may not communicate with jurors or take any action that would notify them of the review, and may not use deception to reach non-public information. Keep juror data anonymized and secured, and never feed it to a tool whose data handling you cannot vouch for.</w:t>
      </w:r>
    </w:p>
    <w:p w14:paraId="4FE80632" w14:textId="77777777" w:rsidR="001D55D0" w:rsidRDefault="00000000">
      <w:pPr>
        <w:pStyle w:val="Heading2"/>
      </w:pPr>
      <w:r>
        <w:t>Verifying AI Focus Groups with Live Ones</w:t>
      </w:r>
    </w:p>
    <w:p w14:paraId="13428A34" w14:textId="77777777" w:rsidR="001D55D0" w:rsidRDefault="00000000">
      <w:pPr>
        <w:spacing w:after="160" w:line="276" w:lineRule="auto"/>
        <w:jc w:val="both"/>
      </w:pPr>
      <w:r>
        <w:t>AI focus groups are fast, cheap, and tireless—but they are synthetic. They approximate human reaction; they do not reproduce it. A synthetic juror cannot bristle at a tone, surprise you with a reaction you never anticipated, or reveal the genuinely human way a real person re-tells your story to a skeptical neighbor in the deliberation room. That is why the smart workflow is not AI instead of live testing, but AI and then live testing. Use AI mock juries to iterate early and often—exploring themes, tuning language, and narrowing your options for almost nothing—then validate the most promising version with one or more live focus groups closer to trial.</w:t>
      </w:r>
    </w:p>
    <w:p w14:paraId="7ABC9ECA" w14:textId="77777777" w:rsidR="001D55D0" w:rsidRDefault="00000000">
      <w:pPr>
        <w:spacing w:after="160" w:line="276" w:lineRule="auto"/>
        <w:jc w:val="both"/>
      </w:pPr>
      <w:r>
        <w:t>The live panel verifies what the AI suggested: it confirms that the themes the model favored actually land with real people, and it catches the places where the synthetic personas missed. Used this way, AI lowers the cost of getting to a small number of well-chosen live sessions, and the live sessions keep the AI honest. There are also newer app-based services—one example is the attorney-built “Focus” app—that sit between the two, letting you gather feedback from a pool of verified human evaluators screened to mirror a jury pool, at a fraction of the cost and time of a traditional focus group. Whatever the mix, neither the model nor the panel replaces the lawyer’s judgment about the venire actually in the room.</w:t>
      </w:r>
    </w:p>
    <w:p w14:paraId="3124AA8A" w14:textId="77777777" w:rsidR="001D55D0" w:rsidRDefault="00000000">
      <w:pPr>
        <w:pStyle w:val="Heading1"/>
      </w:pPr>
      <w:r>
        <w:t>XI.  Selecting the Jury: Technology for Voir Dire</w:t>
      </w:r>
    </w:p>
    <w:p w14:paraId="66AF2D0C" w14:textId="77777777" w:rsidR="001D55D0" w:rsidRDefault="00000000">
      <w:pPr>
        <w:spacing w:after="160" w:line="276" w:lineRule="auto"/>
        <w:jc w:val="both"/>
      </w:pPr>
      <w:r>
        <w:t>Jury selection is the first chance—and sometimes the only chance—to connect with the actual panel, and it happens fast, under pressure, with a room full of people to track at once. Not every useful technology is artificial intelligence. Some of the most valuable tools for voir dire are simple, visual, and borrowed from the business world.</w:t>
      </w:r>
    </w:p>
    <w:p w14:paraId="6960190C" w14:textId="77777777" w:rsidR="001D55D0" w:rsidRDefault="00000000">
      <w:pPr>
        <w:spacing w:after="160" w:line="276" w:lineRule="auto"/>
        <w:jc w:val="both"/>
      </w:pPr>
      <w:r>
        <w:rPr>
          <w:b/>
          <w:bCs/>
        </w:rPr>
        <w:lastRenderedPageBreak/>
        <w:t xml:space="preserve">Trello for the panel. </w:t>
      </w:r>
      <w:r>
        <w:t>Trello—a visual project board built for product and project teams—adapts almost perfectly to jury selection. Give each prospective juror a card, with their seat number, questionnaire notes, and your observations, and arrange the cards in columns that match how you think about the panel: keep, strike, possible cause challenge, undecided. As the venire answers questions and your read changes, you drag cards between columns in real time; you can color-code or label by attitude, background, or concern, track your peremptories as you go, and—because the board is shared—work the same panel live with co-counsel or a jury consultant. It is inexpensive (free to start, with paid tiers around $5 to $10 per user per month), it runs on a laptop or tablet at counsel table, and it turns the chaos of voir dire into something you can see and manage at a glance.</w:t>
      </w:r>
    </w:p>
    <w:p w14:paraId="26ADCC95" w14:textId="77777777" w:rsidR="001D55D0" w:rsidRDefault="00000000">
      <w:pPr>
        <w:spacing w:after="160" w:line="276" w:lineRule="auto"/>
        <w:jc w:val="both"/>
      </w:pPr>
      <w:r>
        <w:t>Used together with the jury modeling described earlier, this is a powerful pairing: AI can help you build a profile of the panel before and during selection, and a visual board like Trello lets you organize and act on it in the moment. The ethical guardrails on juror research apply here too—rely on the questionnaire, voir dire, and publicly available information, never improper contact—and keep the board’s juror notes professional, secured, and consistent with how you would want them read aloud in open court.</w:t>
      </w:r>
    </w:p>
    <w:p w14:paraId="748E4731" w14:textId="77777777" w:rsidR="001D55D0" w:rsidRDefault="00000000">
      <w:pPr>
        <w:pStyle w:val="Heading1"/>
      </w:pPr>
      <w:r>
        <w:t>XII.  Using AI During Trial</w:t>
      </w:r>
    </w:p>
    <w:p w14:paraId="114E258E" w14:textId="77777777" w:rsidR="001D55D0" w:rsidRDefault="00000000">
      <w:pPr>
        <w:spacing w:after="160" w:line="276" w:lineRule="auto"/>
        <w:jc w:val="both"/>
      </w:pPr>
      <w:r>
        <w:t>AI’s greatest value is upstream, but trial itself now generates more information each day than any lawyer can fully process in real time—and a few disciplined uses of AI between sessions can sharpen what you do the next morning. The watchword is between sessions: AI belongs in the overnight work of analyzing what happened and preparing what comes next, never in the live performance in front of the jury.</w:t>
      </w:r>
    </w:p>
    <w:p w14:paraId="7E036AB6" w14:textId="77777777" w:rsidR="001D55D0" w:rsidRDefault="00000000">
      <w:pPr>
        <w:pStyle w:val="Heading2"/>
      </w:pPr>
      <w:r>
        <w:t>Daily Transcript Analysis—Gauging How Testimony Reads</w:t>
      </w:r>
    </w:p>
    <w:p w14:paraId="6421B5CF" w14:textId="77777777" w:rsidR="001D55D0" w:rsidRDefault="00000000">
      <w:pPr>
        <w:spacing w:after="160" w:line="276" w:lineRule="auto"/>
        <w:jc w:val="both"/>
      </w:pPr>
      <w:r>
        <w:t>Running each day’s trial transcript through AI overnight can be a genuine advantage. AI can quickly summarize a long day, surface the points a witness actually made, flag inconsistencies with prior testimony or the record, and identify where testimony was confusing, evasive, or unexpectedly strong—telling you what to clean up on redirect, hammer on cross, or address through the next witness.</w:t>
      </w:r>
    </w:p>
    <w:p w14:paraId="7C48C367" w14:textId="77777777" w:rsidR="001D55D0" w:rsidRDefault="00000000">
      <w:pPr>
        <w:spacing w:after="160" w:line="276" w:lineRule="auto"/>
        <w:jc w:val="both"/>
      </w:pPr>
      <w:r>
        <w:rPr>
          <w:b/>
          <w:bCs/>
        </w:rPr>
        <w:t xml:space="preserve">The caveat here is not fine print; it is the whole point. </w:t>
      </w:r>
      <w:r>
        <w:t>AI works only from the cold transcript. It cannot gauge visual credibility—the demeanor, body language, eye contact, and composure that jurors weigh most heavily—and it cannot hear how a witness sounded: the hesitation, the defensiveness, the tone that can tell a jury far more than the words. A witness who reads flat on paper may have been devastating in person, and one who reads well may have come across as evasive. Use AI transcript analysis as a supplement to your own read of the room and your trial team’s observations, never as a substitute for them. The transcript is what was said; the jury is reacting to how it was said and who said it.</w:t>
      </w:r>
    </w:p>
    <w:p w14:paraId="0E7D3444" w14:textId="77777777" w:rsidR="001D55D0" w:rsidRDefault="00000000">
      <w:pPr>
        <w:pStyle w:val="Heading2"/>
      </w:pPr>
      <w:r>
        <w:t>Comparing the Defense Opening to the Proof—to Build Your Closing</w:t>
      </w:r>
    </w:p>
    <w:p w14:paraId="744AD31E" w14:textId="77777777" w:rsidR="001D55D0" w:rsidRDefault="00000000">
      <w:pPr>
        <w:spacing w:after="160" w:line="276" w:lineRule="auto"/>
        <w:jc w:val="both"/>
      </w:pPr>
      <w:r>
        <w:t xml:space="preserve">Jurors remember the promises made in opening, and few things damage a party’s credibility more than promises the evidence never delivers. AI makes it practical to hold the defense to its opening. Feed the model the defendant’s opening statement and then, as the trial proceeds, the actual testimony and exhibits admitted, and have it build and update a running comparison: every commitment the defense </w:t>
        <w:lastRenderedPageBreak/>
        <w:t>made—“the evidence will show,” “you will hear,” “we will prove”—matched against what the proof actually established. The gaps are your closing. AI can assemble the strongest “they promised X; the evidence showed Y” contrasts, organized and tied to the record, so your closing argument writes itself from the defense’s own words.</w:t>
      </w:r>
    </w:p>
    <w:p w14:paraId="75920B80" w14:textId="77777777" w:rsidR="001D55D0" w:rsidRDefault="00000000">
      <w:pPr>
        <w:spacing w:after="160" w:line="276" w:lineRule="auto"/>
        <w:jc w:val="both"/>
      </w:pPr>
      <w:r>
        <w:t>As always, verify against the actual transcript and exhibits—cite the page and line, not the model’s paraphrase—because a misquoted promise in closing is worse than none at all.</w:t>
      </w:r>
    </w:p>
    <w:p w14:paraId="7ED01306" w14:textId="77777777" w:rsidR="001D55D0" w:rsidRDefault="00000000">
      <w:pPr>
        <w:pStyle w:val="Heading1"/>
      </w:pPr>
      <w:r>
        <w:t>XIII.  Best Practices for Smart and Ethical AI Use</w:t>
      </w:r>
    </w:p>
    <w:p w14:paraId="0F76D22E" w14:textId="77777777" w:rsidR="001D55D0" w:rsidRDefault="00000000">
      <w:pPr>
        <w:spacing w:after="160" w:line="276" w:lineRule="auto"/>
        <w:jc w:val="both"/>
      </w:pPr>
      <w:r>
        <w:t>Artificial intelligence is most effective when it is used deliberately, consistently, and with restraint—from the first record review through closing argument. The question is not whether AI can help, but how to integrate it without diluting judgment, credibility, or ethics.</w:t>
      </w:r>
    </w:p>
    <w:p w14:paraId="5C69F212" w14:textId="77777777" w:rsidR="001D55D0" w:rsidRDefault="00000000">
      <w:pPr>
        <w:pStyle w:val="ListParagraph"/>
        <w:numPr>
          <w:ilvl w:val="0"/>
          <w:numId w:val="2"/>
        </w:numPr>
        <w:spacing w:after="90" w:line="272" w:lineRule="auto"/>
      </w:pPr>
      <w:r>
        <w:rPr>
          <w:b/>
          <w:bCs/>
        </w:rPr>
        <w:t xml:space="preserve">Treat AI as a Preparation Tool, Not an Advocate. </w:t>
      </w:r>
      <w:r>
        <w:t>Use it to organize facts, summarize records, test clarity, and refine language—not to perform advocacy.</w:t>
      </w:r>
    </w:p>
    <w:p w14:paraId="677881B1" w14:textId="77777777" w:rsidR="001D55D0" w:rsidRDefault="00000000">
      <w:pPr>
        <w:pStyle w:val="ListParagraph"/>
        <w:numPr>
          <w:ilvl w:val="0"/>
          <w:numId w:val="2"/>
        </w:numPr>
        <w:spacing w:after="90" w:line="272" w:lineRule="auto"/>
      </w:pPr>
      <w:r>
        <w:rPr>
          <w:b/>
          <w:bCs/>
        </w:rPr>
        <w:t xml:space="preserve">Build for the Whole Panel, Not Jurors Like You. </w:t>
      </w:r>
      <w:r>
        <w:t>Write for the least-educated juror, design for the juror who learns by seeing, and choose references that cut across backgrounds.</w:t>
      </w:r>
    </w:p>
    <w:p w14:paraId="15144563" w14:textId="77777777" w:rsidR="001D55D0" w:rsidRDefault="00000000">
      <w:pPr>
        <w:pStyle w:val="ListParagraph"/>
        <w:numPr>
          <w:ilvl w:val="0"/>
          <w:numId w:val="2"/>
        </w:numPr>
        <w:spacing w:after="90" w:line="272" w:lineRule="auto"/>
      </w:pPr>
      <w:r>
        <w:rPr>
          <w:b/>
          <w:bCs/>
        </w:rPr>
        <w:t xml:space="preserve">Test the Story Before Trial—and Verify It Live. </w:t>
      </w:r>
      <w:r>
        <w:t>Use AI mock juries to iterate cheaply, then validate the best version with a live focus group. Let the model find the problems; let real people confirm the fixes.</w:t>
      </w:r>
    </w:p>
    <w:p w14:paraId="45B69186" w14:textId="77777777" w:rsidR="001D55D0" w:rsidRDefault="00000000">
      <w:pPr>
        <w:pStyle w:val="ListParagraph"/>
        <w:numPr>
          <w:ilvl w:val="0"/>
          <w:numId w:val="2"/>
        </w:numPr>
        <w:spacing w:after="90" w:line="272" w:lineRule="auto"/>
      </w:pPr>
      <w:r>
        <w:rPr>
          <w:b/>
          <w:bCs/>
        </w:rPr>
        <w:t xml:space="preserve">Screen AI Output for Bias and Blind Spots. </w:t>
      </w:r>
      <w:r>
        <w:t>Treat AI-generated themes, analogies, and juror-facing language as a first draft, never a finished product.</w:t>
      </w:r>
    </w:p>
    <w:p w14:paraId="07F9A21E" w14:textId="77777777" w:rsidR="001D55D0" w:rsidRDefault="00000000">
      <w:pPr>
        <w:pStyle w:val="ListParagraph"/>
        <w:numPr>
          <w:ilvl w:val="0"/>
          <w:numId w:val="2"/>
        </w:numPr>
        <w:spacing w:after="90" w:line="272" w:lineRule="auto"/>
      </w:pPr>
      <w:r>
        <w:rPr>
          <w:b/>
          <w:bCs/>
        </w:rPr>
        <w:t xml:space="preserve">Verify Everything—Always. </w:t>
      </w:r>
      <w:r>
        <w:t>AI does not verify facts, evidence, or law. Independent confirmation is non-delegable, and the hallucination data proves why.</w:t>
      </w:r>
    </w:p>
    <w:p w14:paraId="0ECD039C" w14:textId="77777777" w:rsidR="001D55D0" w:rsidRDefault="00000000">
      <w:pPr>
        <w:pStyle w:val="ListParagraph"/>
        <w:numPr>
          <w:ilvl w:val="0"/>
          <w:numId w:val="2"/>
        </w:numPr>
        <w:spacing w:after="90" w:line="272" w:lineRule="auto"/>
      </w:pPr>
      <w:r>
        <w:rPr>
          <w:b/>
          <w:bCs/>
        </w:rPr>
        <w:t xml:space="preserve">Protect Confidentiality by Design. </w:t>
      </w:r>
      <w:r>
        <w:t>Know how each tool handles data; verify settings and enterprise safeguards before any client or juror information goes in.</w:t>
      </w:r>
    </w:p>
    <w:p w14:paraId="6A103FAD" w14:textId="77777777" w:rsidR="001D55D0" w:rsidRDefault="00000000">
      <w:pPr>
        <w:pStyle w:val="ListParagraph"/>
        <w:numPr>
          <w:ilvl w:val="0"/>
          <w:numId w:val="2"/>
        </w:numPr>
        <w:spacing w:after="90" w:line="272" w:lineRule="auto"/>
      </w:pPr>
      <w:r>
        <w:rPr>
          <w:b/>
          <w:bCs/>
        </w:rPr>
        <w:t xml:space="preserve">Use AI to Enforce Discipline, Not to Expand the Case. </w:t>
      </w:r>
      <w:r>
        <w:t>Use it to simplify and focus—not to add theories, facts, or emotional weight.</w:t>
      </w:r>
    </w:p>
    <w:p w14:paraId="0C67BF0B" w14:textId="77777777" w:rsidR="001D55D0" w:rsidRDefault="00000000">
      <w:pPr>
        <w:pStyle w:val="ListParagraph"/>
        <w:numPr>
          <w:ilvl w:val="0"/>
          <w:numId w:val="2"/>
        </w:numPr>
        <w:spacing w:after="90" w:line="272" w:lineRule="auto"/>
      </w:pPr>
      <w:r>
        <w:rPr>
          <w:b/>
          <w:bCs/>
        </w:rPr>
        <w:t xml:space="preserve">Keep Live Advocacy Human—Especially at Trial. </w:t>
      </w:r>
      <w:r>
        <w:t>AI reads transcripts, not the room. It cannot see demeanor or hear tone, so it informs your between-session strategy; it never replaces your judgment in front of the jury.</w:t>
      </w:r>
    </w:p>
    <w:p w14:paraId="0318D1C1" w14:textId="77777777" w:rsidR="001D55D0" w:rsidRDefault="00000000">
      <w:pPr>
        <w:pStyle w:val="ListParagraph"/>
        <w:numPr>
          <w:ilvl w:val="0"/>
          <w:numId w:val="2"/>
        </w:numPr>
        <w:spacing w:after="90" w:line="272" w:lineRule="auto"/>
      </w:pPr>
      <w:r>
        <w:rPr>
          <w:b/>
          <w:bCs/>
        </w:rPr>
        <w:t xml:space="preserve">Establish Clear Internal Guidelines. </w:t>
      </w:r>
      <w:r>
        <w:t>Clarity on confidentiality, verification, and supervision prevents avoidable problems—and protects the whole firm, not just the lawyer at the keyboard.</w:t>
      </w:r>
    </w:p>
    <w:p w14:paraId="6A339AE6" w14:textId="77777777" w:rsidR="001D55D0" w:rsidRDefault="00000000">
      <w:pPr>
        <w:pStyle w:val="Heading1"/>
      </w:pPr>
      <w:r>
        <w:t>Conclusion</w:t>
      </w:r>
    </w:p>
    <w:p w14:paraId="58CA55D4" w14:textId="77777777" w:rsidR="001D55D0" w:rsidRDefault="00000000">
      <w:pPr>
        <w:spacing w:after="160" w:line="276" w:lineRule="auto"/>
        <w:jc w:val="both"/>
      </w:pPr>
      <w:r>
        <w:t xml:space="preserve">Technology is not changing what makes a story persuasive. Jurors still decide cases through narrative, and they still reward clarity, credibility, and fairness. What technology changes is the lawyer’s ability to build that story efficiently, show it vividly, test it before trial, and—most important for this topic—connect with </w:t>
        <w:lastRenderedPageBreak/>
        <w:t>every member of the panel, from the first question in voir dire to the last word of closing. Artificial intelligence is the most powerful part of that toolkit, but it is only part of it; the presentation tools, the demonstratives, and the simple visual aids that organize a jury matter just as much.</w:t>
      </w:r>
    </w:p>
    <w:p w14:paraId="654B828D" w14:textId="77777777" w:rsidR="001D55D0" w:rsidRDefault="00000000">
      <w:pPr>
        <w:spacing w:after="160" w:line="276" w:lineRule="auto"/>
        <w:jc w:val="both"/>
      </w:pPr>
      <w:r>
        <w:t>What separates strong use from weak use is discipline. Lawyers who use technology to clarify, organize, test, and verify—and who treat AI’s confident output with appropriate skepticism—will gain a real advantage and protect their credibility. Lawyers who use it to shortcut professional responsibility will surrender both. The hallucination data and the sanctions docket are not arguments against technology—they are reminders to use the most powerful tools the right way.</w:t>
      </w:r>
    </w:p>
    <w:p w14:paraId="1CDC4194" w14:textId="77777777" w:rsidR="001D55D0" w:rsidRDefault="00000000">
      <w:pPr>
        <w:spacing w:after="160" w:line="276" w:lineRule="auto"/>
        <w:jc w:val="both"/>
      </w:pPr>
      <w:r>
        <w:t>For plaintiff trial lawyers, this moment is an opportunity rather than a threat. Used responsibly, technology rewards the same traits that win cases: preparation, clarity, fairness, and consistency. The question is no longer whether technology will be part of trial practice. It is whether you will use it—artificial intelligence included—smartly and ethically enough to tell a more compelling story to every juror in the box.</w:t>
      </w:r>
    </w:p>
    <w:p w14:paraId="0244718F" w14:textId="77777777" w:rsidR="001D55D0" w:rsidRDefault="00000000">
      <w:pPr>
        <w:pStyle w:val="Heading1"/>
      </w:pPr>
      <w:r>
        <w:t>Appendix A</w:t>
      </w:r>
    </w:p>
    <w:p w14:paraId="16C53998" w14:textId="77777777" w:rsidR="001D55D0" w:rsidRDefault="00000000">
      <w:pPr>
        <w:spacing w:after="160" w:line="276" w:lineRule="auto"/>
      </w:pPr>
      <w:r>
        <w:rPr>
          <w:b/>
          <w:bCs/>
        </w:rPr>
        <w:t>Sample AI Prompts for Trial Preparation, Persuasion, and Trial.</w:t>
      </w:r>
    </w:p>
    <w:p w14:paraId="273F2A01" w14:textId="77777777" w:rsidR="001D55D0" w:rsidRDefault="00000000">
      <w:pPr>
        <w:spacing w:after="160" w:line="276" w:lineRule="auto"/>
      </w:pPr>
      <w:r>
        <w:rPr>
          <w:i/>
          <w:iCs/>
        </w:rPr>
        <w:t>Use these with hypothetical, anonymized, or sanitized information unless the platform is verified as secure and non-training. All output must be reviewed and validated by counsel; treat every citation and fact as unverified until independently confirmed.</w:t>
      </w:r>
    </w:p>
    <w:p w14:paraId="3D3B322B" w14:textId="77777777" w:rsidR="001D55D0" w:rsidRDefault="00000000">
      <w:pPr>
        <w:pStyle w:val="Heading2"/>
      </w:pPr>
      <w:r>
        <w:lastRenderedPageBreak/>
        <w:t>Intake and Chronology</w:t>
      </w:r>
    </w:p>
    <w:p w14:paraId="2300723E" w14:textId="77777777" w:rsidR="001D55D0" w:rsidRDefault="00000000">
      <w:pPr>
        <w:pStyle w:val="ListParagraph"/>
        <w:numPr>
          <w:ilvl w:val="0"/>
          <w:numId w:val="2"/>
        </w:numPr>
        <w:spacing w:after="90" w:line="272" w:lineRule="auto"/>
      </w:pPr>
      <w:r>
        <w:t>Summarize the attached records, build a dated chronology of key events, and flag gaps, inconsistencies, or missing information I should follow up on.</w:t>
      </w:r>
    </w:p>
    <w:p w14:paraId="632B6719" w14:textId="77777777" w:rsidR="001D55D0" w:rsidRDefault="00000000">
      <w:pPr>
        <w:pStyle w:val="ListParagraph"/>
        <w:numPr>
          <w:ilvl w:val="0"/>
          <w:numId w:val="2"/>
        </w:numPr>
        <w:spacing w:after="90" w:line="272" w:lineRule="auto"/>
      </w:pPr>
      <w:r>
        <w:t>From these initial records, identify the key decision points and the additional records, witnesses, or consultants I should pursue before positions harden.</w:t>
      </w:r>
    </w:p>
    <w:p w14:paraId="1A2B3001" w14:textId="77777777" w:rsidR="001D55D0" w:rsidRDefault="00000000">
      <w:pPr>
        <w:pStyle w:val="ListParagraph"/>
        <w:numPr>
          <w:ilvl w:val="0"/>
          <w:numId w:val="2"/>
        </w:numPr>
        <w:spacing w:after="90" w:line="272" w:lineRule="auto"/>
      </w:pPr>
      <w:r>
        <w:t>Read these medical records and produce a single chronological timeline that merges every provider into one view, with a row for each encounter showing the date, the provider, the findings, and the treatment—and a column flagging any date where records appear to be missing.</w:t>
      </w:r>
    </w:p>
    <w:p w14:paraId="131F1B3A" w14:textId="77777777" w:rsidR="001D55D0" w:rsidRDefault="00000000">
      <w:pPr>
        <w:pStyle w:val="Heading2"/>
      </w:pPr>
      <w:r>
        <w:t>Discovery and Depositions</w:t>
      </w:r>
    </w:p>
    <w:p w14:paraId="2B643E30" w14:textId="77777777" w:rsidR="001D55D0" w:rsidRDefault="00000000">
      <w:pPr>
        <w:pStyle w:val="ListParagraph"/>
        <w:numPr>
          <w:ilvl w:val="0"/>
          <w:numId w:val="2"/>
        </w:numPr>
        <w:spacing w:after="90" w:line="272" w:lineRule="auto"/>
      </w:pPr>
      <w:r>
        <w:t>Audit my planned written discovery and deposition topics against the propositions I must prove. Identify requests that do not move the story forward.</w:t>
      </w:r>
    </w:p>
    <w:p w14:paraId="3FB2812B" w14:textId="77777777" w:rsidR="001D55D0" w:rsidRDefault="00000000">
      <w:pPr>
        <w:pStyle w:val="ListParagraph"/>
        <w:numPr>
          <w:ilvl w:val="0"/>
          <w:numId w:val="2"/>
        </w:numPr>
        <w:spacing w:after="90" w:line="272" w:lineRule="auto"/>
      </w:pPr>
      <w:r>
        <w:t>From the attached transcript, generate a topic-based cross-examination outline tied to these propositions, anticipate likely evasions, and list the strongest admissions.</w:t>
      </w:r>
    </w:p>
    <w:p w14:paraId="1A2B3002" w14:textId="77777777" w:rsidR="001D55D0" w:rsidRDefault="00000000">
      <w:pPr>
        <w:pStyle w:val="ListParagraph"/>
        <w:numPr>
          <w:ilvl w:val="0"/>
          <w:numId w:val="2"/>
        </w:numPr>
        <w:spacing w:after="90" w:line="272" w:lineRule="auto"/>
      </w:pPr>
      <w:r>
        <w:t>Draft 25 deposition questions for the defendant’s corporate representative on [topic]. Build from background to admission, keep each question short and leading, and tie each one to a specific document by its Bates number.</w:t>
      </w:r>
    </w:p>
    <w:p w14:paraId="1A2B3003" w14:textId="77777777" w:rsidR="001D55D0" w:rsidRDefault="00000000">
      <w:pPr>
        <w:pStyle w:val="ListParagraph"/>
        <w:numPr>
          <w:ilvl w:val="0"/>
          <w:numId w:val="2"/>
        </w:numPr>
        <w:spacing w:after="90" w:line="272" w:lineRule="auto"/>
      </w:pPr>
      <w:r>
        <w:t>Compare this witness’s deposition testimony to their earlier written statement and list every inconsistency, with a citation to the page and line of each.</w:t>
      </w:r>
    </w:p>
    <w:p w14:paraId="3E121E45" w14:textId="77777777" w:rsidR="001D55D0" w:rsidRDefault="00000000">
      <w:pPr>
        <w:pStyle w:val="Heading2"/>
      </w:pPr>
      <w:r>
        <w:t>Records, Experts, and Defense</w:t>
      </w:r>
    </w:p>
    <w:p w14:paraId="58201A20" w14:textId="77777777" w:rsidR="001D55D0" w:rsidRDefault="00000000">
      <w:pPr>
        <w:pStyle w:val="ListParagraph"/>
        <w:numPr>
          <w:ilvl w:val="0"/>
          <w:numId w:val="2"/>
        </w:numPr>
        <w:spacing w:after="90" w:line="272" w:lineRule="auto"/>
      </w:pPr>
      <w:r>
        <w:t>Produce a plain-language summary of this expert report for internal use, and flag where the record appears inconsistent or incomplete.</w:t>
      </w:r>
    </w:p>
    <w:p w14:paraId="62972E64" w14:textId="77777777" w:rsidR="001D55D0" w:rsidRDefault="00000000">
      <w:pPr>
        <w:pStyle w:val="ListParagraph"/>
        <w:numPr>
          <w:ilvl w:val="0"/>
          <w:numId w:val="2"/>
        </w:numPr>
        <w:spacing w:after="90" w:line="272" w:lineRule="auto"/>
      </w:pPr>
      <w:r>
        <w:t>Identify the weakest points in this case theory and the most likely ways the defense will reframe my facts as an unavoidable accident. Suggest how I should address each one early.</w:t>
      </w:r>
    </w:p>
    <w:p w14:paraId="1A2B3004" w14:textId="77777777" w:rsidR="001D55D0" w:rsidRDefault="00000000">
      <w:pPr>
        <w:pStyle w:val="ListParagraph"/>
        <w:numPr>
          <w:ilvl w:val="0"/>
          <w:numId w:val="2"/>
        </w:numPr>
        <w:spacing w:after="90" w:line="272" w:lineRule="auto"/>
      </w:pPr>
      <w:r>
        <w:t>Build a side-by-side comparison of the standard of care described in this expert report against what the records show actually happened, organized by date, with a final column noting each deviation.</w:t>
      </w:r>
    </w:p>
    <w:p w14:paraId="1A2B3005" w14:textId="77777777" w:rsidR="001D55D0" w:rsidRDefault="00000000">
      <w:pPr>
        <w:pStyle w:val="ListParagraph"/>
        <w:numPr>
          <w:ilvl w:val="0"/>
          <w:numId w:val="2"/>
        </w:numPr>
        <w:spacing w:after="90" w:line="272" w:lineRule="auto"/>
      </w:pPr>
      <w:r>
        <w:t>Review this defense expert’s report and list every assumption it depends on. For each assumption, identify the specific evidence in our record that would undermine it.</w:t>
      </w:r>
    </w:p>
    <w:p w14:paraId="5CDB9A54" w14:textId="77777777" w:rsidR="001D55D0" w:rsidRDefault="00000000">
      <w:pPr>
        <w:pStyle w:val="Heading2"/>
      </w:pPr>
      <w:r>
        <w:t>Themes, Story, and Reaching All Jurors</w:t>
      </w:r>
    </w:p>
    <w:p w14:paraId="6FBC66D9" w14:textId="77777777" w:rsidR="001D55D0" w:rsidRDefault="00000000">
      <w:pPr>
        <w:pStyle w:val="ListParagraph"/>
        <w:numPr>
          <w:ilvl w:val="0"/>
          <w:numId w:val="2"/>
        </w:numPr>
        <w:spacing w:after="90" w:line="272" w:lineRule="auto"/>
      </w:pPr>
      <w:r>
        <w:t>Propose three trial themes that are simple, universal, and prevention-focused. State each in one sentence a juror with no legal background would understand.</w:t>
      </w:r>
    </w:p>
    <w:p w14:paraId="29C286F9" w14:textId="77777777" w:rsidR="001D55D0" w:rsidRDefault="00000000">
      <w:pPr>
        <w:pStyle w:val="ListParagraph"/>
        <w:numPr>
          <w:ilvl w:val="0"/>
          <w:numId w:val="2"/>
        </w:numPr>
        <w:spacing w:after="90" w:line="272" w:lineRule="auto"/>
      </w:pPr>
      <w:r>
        <w:t>Generate four analogies to explain this concept. For each, note the background knowledge it assumes and flag any that depend on a narrow cultural, professional, or regional reference.</w:t>
      </w:r>
    </w:p>
    <w:p w14:paraId="26C0C6C4" w14:textId="77777777" w:rsidR="001D55D0" w:rsidRDefault="00000000">
      <w:pPr>
        <w:pStyle w:val="ListParagraph"/>
        <w:numPr>
          <w:ilvl w:val="0"/>
          <w:numId w:val="2"/>
        </w:numPr>
        <w:spacing w:after="90" w:line="272" w:lineRule="auto"/>
      </w:pPr>
      <w:r>
        <w:t>Rewrite this passage at roughly an eighth-grade reading level, removing jargon and shortening sentences, without losing accuracy or sounding condescending.</w:t>
      </w:r>
    </w:p>
    <w:p w14:paraId="4C960B8B" w14:textId="77777777" w:rsidR="001D55D0" w:rsidRDefault="00000000">
      <w:pPr>
        <w:pStyle w:val="ListParagraph"/>
        <w:numPr>
          <w:ilvl w:val="0"/>
          <w:numId w:val="2"/>
        </w:numPr>
        <w:spacing w:after="90" w:line="272" w:lineRule="auto"/>
      </w:pPr>
      <w:r>
        <w:t>Review this opening or theme for assumptions about a juror’s education, income, culture, language, or background that could cause part of a diverse panel to disengage, and suggest more broadly resonant alternatives.</w:t>
      </w:r>
    </w:p>
    <w:p w14:paraId="1A2B3006" w14:textId="77777777" w:rsidR="001D55D0" w:rsidRDefault="00000000">
      <w:pPr>
        <w:pStyle w:val="ListParagraph"/>
        <w:numPr>
          <w:ilvl w:val="0"/>
          <w:numId w:val="2"/>
        </w:numPr>
        <w:spacing w:after="90" w:line="272" w:lineRule="auto"/>
      </w:pPr>
      <w:r>
        <w:t>Rewrite this analogy three ways for three different jurors—one who works with her hands, one who is retired, and one who recently finished college—so each version uses a reference that juror would find familiar.</w:t>
      </w:r>
    </w:p>
    <w:p w14:paraId="1A2B3007" w14:textId="77777777" w:rsidR="001D55D0" w:rsidRDefault="00000000">
      <w:pPr>
        <w:pStyle w:val="Heading2"/>
      </w:pPr>
      <w:r>
        <w:t>Demonstratives</w:t>
      </w:r>
    </w:p>
    <w:p w14:paraId="1A2B3008" w14:textId="77777777" w:rsidR="001D55D0" w:rsidRDefault="00000000">
      <w:pPr>
        <w:pStyle w:val="ListParagraph"/>
        <w:numPr>
          <w:ilvl w:val="0"/>
          <w:numId w:val="2"/>
        </w:numPr>
        <w:spacing w:after="90" w:line="272" w:lineRule="auto"/>
      </w:pPr>
      <w:r>
        <w:t>Analyze this medical chart and identify the gaps in the records—the assessments, monitoring, or interventions the standard of care required that do not appear—then produce a clear visual that shows where the care fell off.</w:t>
      </w:r>
    </w:p>
    <w:p w14:paraId="1A2B3009" w14:textId="77777777" w:rsidR="001D55D0" w:rsidRDefault="00000000">
      <w:pPr>
        <w:pStyle w:val="ListParagraph"/>
        <w:numPr>
          <w:ilvl w:val="0"/>
          <w:numId w:val="2"/>
        </w:numPr>
        <w:spacing w:after="90" w:line="272" w:lineRule="auto"/>
      </w:pPr>
      <w:r>
        <w:t>From the weights recorded in these records, build a graph of the patient’s weight over time, labeling the key dates, so the decline is visible at a glance.</w:t>
      </w:r>
    </w:p>
    <w:p w14:paraId="1A2B3010" w14:textId="77777777" w:rsidR="001D55D0" w:rsidRDefault="00000000">
      <w:pPr>
        <w:pStyle w:val="ListParagraph"/>
        <w:numPr>
          <w:ilvl w:val="0"/>
          <w:numId w:val="2"/>
        </w:numPr>
        <w:spacing w:after="90" w:line="272" w:lineRule="auto"/>
      </w:pPr>
      <w:r>
        <w:t>Turn this column of figures into a clean, jury-ready chart with a plain-English title and no clutter, and tell me the single point this exhibit should make.</w:t>
      </w:r>
    </w:p>
    <w:p w14:paraId="1A2B3011" w14:textId="77777777" w:rsidR="001D55D0" w:rsidRDefault="00000000">
      <w:pPr>
        <w:pStyle w:val="ListParagraph"/>
        <w:numPr>
          <w:ilvl w:val="0"/>
          <w:numId w:val="2"/>
        </w:numPr>
        <w:spacing w:after="90" w:line="272" w:lineRule="auto"/>
      </w:pPr>
      <w:r>
        <w:t>Draft a simple timeline graphic of the ten most important events in this case, each described in one short, neutral phrase a juror could read in two seconds.</w:t>
      </w:r>
    </w:p>
    <w:p w14:paraId="3345B222" w14:textId="77777777" w:rsidR="001D55D0" w:rsidRDefault="00000000">
      <w:pPr>
        <w:pStyle w:val="Heading2"/>
      </w:pPr>
      <w:r>
        <w:t>Jury Testing</w:t>
      </w:r>
    </w:p>
    <w:p w14:paraId="13CF85A4" w14:textId="77777777" w:rsidR="001D55D0" w:rsidRDefault="00000000">
      <w:pPr>
        <w:pStyle w:val="ListParagraph"/>
        <w:numPr>
          <w:ilvl w:val="0"/>
          <w:numId w:val="2"/>
        </w:numPr>
        <w:spacing w:after="90" w:line="272" w:lineRule="auto"/>
      </w:pPr>
      <w:r>
        <w:t>Acting as a panel of jurors with varied ages, education levels, and backgrounds, summarize what each takes away from this case theory, where each gets confused, and where any of them stop finding it fair.</w:t>
      </w:r>
    </w:p>
    <w:p w14:paraId="1B469C67" w14:textId="77777777" w:rsidR="001D55D0" w:rsidRDefault="00000000">
      <w:pPr>
        <w:pStyle w:val="ListParagraph"/>
        <w:numPr>
          <w:ilvl w:val="0"/>
          <w:numId w:val="2"/>
        </w:numPr>
        <w:spacing w:after="90" w:line="272" w:lineRule="auto"/>
      </w:pPr>
      <w:r>
        <w:t>Compare this profile of my actual seated jury against the mock panel I used in preparation, and identify where the differences should change my emphasis, analogies, or language.</w:t>
      </w:r>
    </w:p>
    <w:p w14:paraId="1A2B3012" w14:textId="77777777" w:rsidR="001D55D0" w:rsidRDefault="00000000">
      <w:pPr>
        <w:pStyle w:val="ListParagraph"/>
        <w:numPr>
          <w:ilvl w:val="0"/>
          <w:numId w:val="2"/>
        </w:numPr>
        <w:spacing w:after="90" w:line="272" w:lineRule="auto"/>
      </w:pPr>
      <w:r>
        <w:t>You are a focus group of eight jurors from [county], with this mix of ages, occupations, and attitudes: [list]. React to this 90-second case summary one juror at a time—what each believes happened, who each blames, and what would change their mind.</w:t>
      </w:r>
    </w:p>
    <w:p w14:paraId="1A2B3013" w14:textId="77777777" w:rsidR="001D55D0" w:rsidRDefault="00000000">
      <w:pPr>
        <w:pStyle w:val="ListParagraph"/>
        <w:numPr>
          <w:ilvl w:val="0"/>
          <w:numId w:val="2"/>
        </w:numPr>
        <w:spacing w:after="90" w:line="272" w:lineRule="auto"/>
      </w:pPr>
      <w:r>
        <w:t>Using these juror questionnaires and this voir dire transcript, build a short profile of each seated juror—likely leanings, concerns, and the themes that will and will not reach them—and flag where this panel differs from the mock jury I prepared with.</w:t>
      </w:r>
    </w:p>
    <w:p w14:paraId="7EEADB41" w14:textId="77777777" w:rsidR="001D55D0" w:rsidRDefault="00000000">
      <w:pPr>
        <w:pStyle w:val="Heading2"/>
      </w:pPr>
      <w:r>
        <w:t>During Trial</w:t>
      </w:r>
    </w:p>
    <w:p w14:paraId="12EA4387" w14:textId="77777777" w:rsidR="001D55D0" w:rsidRDefault="00000000">
      <w:pPr>
        <w:pStyle w:val="ListParagraph"/>
        <w:numPr>
          <w:ilvl w:val="0"/>
          <w:numId w:val="2"/>
        </w:numPr>
        <w:spacing w:after="90" w:line="272" w:lineRule="auto"/>
      </w:pPr>
      <w:r>
        <w:t xml:space="preserve">Summarize today’s trial transcript: the points this witness actually made, any inconsistencies with prior testimony, and where the testimony was confusing or evasive—then list what I should </w:t>
        <w:lastRenderedPageBreak/>
        <w:t>address on redirect, cross, or through the next witness. (Note: you are working only from the transcript and cannot assess demeanor, tone, or how the witness came across.)</w:t>
      </w:r>
    </w:p>
    <w:p w14:paraId="402D4FB6" w14:textId="77777777" w:rsidR="001D55D0" w:rsidRDefault="00000000">
      <w:pPr>
        <w:pStyle w:val="ListParagraph"/>
        <w:numPr>
          <w:ilvl w:val="0"/>
          <w:numId w:val="2"/>
        </w:numPr>
        <w:spacing w:after="90" w:line="272" w:lineRule="auto"/>
      </w:pPr>
      <w:r>
        <w:t>Compare the defendant’s opening statement to the evidence admitted so far. List every promise the defense made that the proof has not delivered, tied to transcript pages, organized as “they told you X; the evidence showed Y” for my closing.</w:t>
      </w:r>
    </w:p>
    <w:p w14:paraId="1A2B3014" w14:textId="77777777" w:rsidR="001D55D0" w:rsidRDefault="00000000">
      <w:pPr>
        <w:pStyle w:val="ListParagraph"/>
        <w:numPr>
          <w:ilvl w:val="0"/>
          <w:numId w:val="2"/>
        </w:numPr>
        <w:spacing w:after="90" w:line="272" w:lineRule="auto"/>
      </w:pPr>
      <w:r>
        <w:t>Here is today’s trial transcript. Identify the three moments most likely to have helped us and the three most likely to have hurt, and draft questions to repair the damage with the next witness. (You are working only from the transcript and cannot judge demeanor or tone.)</w:t>
      </w:r>
    </w:p>
    <w:p w14:paraId="2557BF67" w14:textId="77777777" w:rsidR="001D55D0" w:rsidRDefault="00000000">
      <w:pPr>
        <w:pStyle w:val="Heading2"/>
      </w:pPr>
      <w:r>
        <w:t>Verification</w:t>
      </w:r>
    </w:p>
    <w:p w14:paraId="3256946E" w14:textId="77777777" w:rsidR="001D55D0" w:rsidRDefault="00000000">
      <w:pPr>
        <w:pStyle w:val="ListParagraph"/>
        <w:numPr>
          <w:ilvl w:val="0"/>
          <w:numId w:val="2"/>
        </w:numPr>
        <w:spacing w:after="90" w:line="272" w:lineRule="auto"/>
      </w:pPr>
      <w:r>
        <w:t>List every case, statute, and factual assertion in this draft that I must independently verify before filing, and identify any citation you are not fully confident is real.</w:t>
      </w:r>
    </w:p>
    <w:p w14:paraId="1A2B3015" w14:textId="77777777" w:rsidR="001D55D0" w:rsidRDefault="00000000">
      <w:pPr>
        <w:pStyle w:val="ListParagraph"/>
        <w:numPr>
          <w:ilvl w:val="0"/>
          <w:numId w:val="2"/>
        </w:numPr>
        <w:spacing w:after="90" w:line="272" w:lineRule="auto"/>
      </w:pPr>
      <w:r>
        <w:t>Re-read your previous answer and list every factual or legal assertion in it that I must independently confirm. Do not add any new claims—only identify what needs checking.</w:t>
      </w:r>
    </w:p>
    <w:sectPr w:rsidR="001D55D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5E5563" w14:textId="77777777" w:rsidR="003F3DE1" w:rsidRDefault="003F3DE1">
      <w:r>
        <w:separator/>
      </w:r>
    </w:p>
  </w:endnote>
  <w:endnote w:type="continuationSeparator" w:id="0">
    <w:p w14:paraId="5E194620" w14:textId="77777777" w:rsidR="003F3DE1" w:rsidRDefault="003F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5C59A" w14:textId="77777777" w:rsidR="001D55D0" w:rsidRDefault="00000000">
    <w:pPr>
      <w:jc w:val="center"/>
    </w:pPr>
    <w:r>
      <w:rPr>
        <w:color w:val="8A93A3"/>
        <w:sz w:val="16"/>
        <w:szCs w:val="16"/>
      </w:rPr>
      <w:t xml:space="preserve">Tad </w:t>
    </w:r>
    <w:proofErr w:type="gramStart"/>
    <w:r>
      <w:rPr>
        <w:color w:val="8A93A3"/>
        <w:sz w:val="16"/>
        <w:szCs w:val="16"/>
      </w:rPr>
      <w:t>Thomas  ·</w:t>
    </w:r>
    <w:proofErr w:type="gramEnd"/>
    <w:r>
      <w:rPr>
        <w:color w:val="8A93A3"/>
        <w:sz w:val="16"/>
        <w:szCs w:val="16"/>
      </w:rPr>
      <w:t xml:space="preserve">  Thomas Law </w:t>
    </w:r>
    <w:proofErr w:type="gramStart"/>
    <w:r>
      <w:rPr>
        <w:color w:val="8A93A3"/>
        <w:sz w:val="16"/>
        <w:szCs w:val="16"/>
      </w:rPr>
      <w:t>Offices  ·</w:t>
    </w:r>
    <w:proofErr w:type="gramEnd"/>
    <w:r>
      <w:rPr>
        <w:color w:val="8A93A3"/>
        <w:sz w:val="16"/>
        <w:szCs w:val="16"/>
      </w:rPr>
      <w:t xml:space="preserve">  </w:t>
    </w:r>
    <w:r>
      <w:rPr>
        <w:color w:val="8A93A3"/>
        <w:sz w:val="16"/>
        <w:szCs w:val="16"/>
      </w:rPr>
      <w:fldChar w:fldCharType="begin"/>
    </w:r>
    <w:r>
      <w:rPr>
        <w:color w:val="8A93A3"/>
        <w:sz w:val="16"/>
        <w:szCs w:val="16"/>
      </w:rPr>
      <w:instrText>PAGE</w:instrText>
    </w:r>
    <w:r>
      <w:rPr>
        <w:color w:val="8A93A3"/>
        <w:sz w:val="16"/>
        <w:szCs w:val="16"/>
      </w:rPr>
      <w:fldChar w:fldCharType="separate"/>
    </w:r>
    <w:r w:rsidR="00061FFE">
      <w:rPr>
        <w:noProof/>
        <w:color w:val="8A93A3"/>
        <w:sz w:val="16"/>
        <w:szCs w:val="16"/>
      </w:rPr>
      <w:t>1</w:t>
    </w:r>
    <w:r>
      <w:rPr>
        <w:color w:val="8A93A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DB9834" w14:textId="77777777" w:rsidR="003F3DE1" w:rsidRDefault="003F3DE1">
      <w:r>
        <w:separator/>
      </w:r>
    </w:p>
  </w:footnote>
  <w:footnote w:type="continuationSeparator" w:id="0">
    <w:p w14:paraId="6552F544" w14:textId="77777777" w:rsidR="003F3DE1" w:rsidRDefault="003F3DE1">
      <w:r>
        <w:continuationSeparator/>
      </w:r>
    </w:p>
  </w:footnote>
  <w:footnote w:id="1">
    <w:p w14:paraId="352BEC60" w14:textId="77777777" w:rsidR="001D55D0" w:rsidRDefault="00000000">
      <w:r>
        <w:rPr>
          <w:rStyle w:val="FootnoteReference"/>
        </w:rPr>
        <w:footnoteRef/>
      </w:r>
      <w:r>
        <w:t>Tad Thomas is the Managing Partner of Thomas Law Offices, PLLC, with offices in Louisville, KY; Cincinnati and Cleveland, OH; Chicago, IL; Columbia, MO; and Des Moines, IA. His practice focuses on plaintiff-side personal injury, nursing home, and medical negligence litigation. Tad is a Past President of the American Association for Justice. He can be reached at tad@thomaslawoffices.com.</w:t>
      </w:r>
    </w:p>
  </w:footnote>
  <w:footnote w:id="2">
    <w:p w14:paraId="7117DCFD" w14:textId="77777777" w:rsidR="001D55D0" w:rsidRDefault="00000000">
      <w:r>
        <w:rPr>
          <w:rStyle w:val="FootnoteReference"/>
        </w:rPr>
        <w:footnoteRef/>
      </w:r>
      <w:r>
        <w:t xml:space="preserve">Varun Magesh et al., </w:t>
      </w:r>
      <w:r>
        <w:rPr>
          <w:i/>
          <w:iCs/>
        </w:rPr>
        <w:t>Hallucination-Free? Assessing the Reliability of Leading AI Legal Research Tools</w:t>
      </w:r>
      <w:r>
        <w:t xml:space="preserve">, 22 J. Empirical Legal Stud. 216 (2025) (preprint posted May 2024); see also Stanford </w:t>
      </w:r>
      <w:proofErr w:type="spellStart"/>
      <w:r>
        <w:t>RegLab</w:t>
      </w:r>
      <w:proofErr w:type="spellEnd"/>
      <w:r>
        <w:t xml:space="preserve"> &amp; HAI summary, reglab.stanford.edu. Hallucination rates and the providers' marketing claims are drawn from that study and contemporaneous 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C4E3B" w14:textId="77777777" w:rsidR="001D55D0" w:rsidRDefault="00000000">
    <w:pPr>
      <w:pBdr>
        <w:bottom w:val="single" w:sz="4" w:space="4" w:color="C7CEDD"/>
      </w:pBdr>
      <w:jc w:val="right"/>
    </w:pPr>
    <w:r>
      <w:rPr>
        <w:i/>
        <w:iCs/>
        <w:color w:val="8A93A3"/>
        <w:sz w:val="16"/>
        <w:szCs w:val="16"/>
      </w:rPr>
      <w:t xml:space="preserve">A Persuasive and Compelling Story for All </w:t>
    </w:r>
    <w:proofErr w:type="gramStart"/>
    <w:r>
      <w:rPr>
        <w:i/>
        <w:iCs/>
        <w:color w:val="8A93A3"/>
        <w:sz w:val="16"/>
        <w:szCs w:val="16"/>
      </w:rPr>
      <w:t>Jurors  ·</w:t>
    </w:r>
    <w:proofErr w:type="gramEnd"/>
    <w:r>
      <w:rPr>
        <w:i/>
        <w:iCs/>
        <w:color w:val="8A93A3"/>
        <w:sz w:val="16"/>
        <w:szCs w:val="16"/>
      </w:rPr>
      <w:t xml:space="preserve">  From Selection Through Trial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A5674F"/>
    <w:multiLevelType w:val="hybridMultilevel"/>
    <w:tmpl w:val="0AEA340E"/>
    <w:lvl w:ilvl="0" w:tplc="5612550E">
      <w:start w:val="1"/>
      <w:numFmt w:val="bullet"/>
      <w:lvlText w:val="•"/>
      <w:lvlJc w:val="left"/>
      <w:pPr>
        <w:ind w:left="540" w:hanging="270"/>
      </w:pPr>
    </w:lvl>
    <w:lvl w:ilvl="1" w:tplc="73481150">
      <w:start w:val="1"/>
      <w:numFmt w:val="bullet"/>
      <w:lvlText w:val="–"/>
      <w:lvlJc w:val="left"/>
      <w:pPr>
        <w:ind w:left="1080" w:hanging="270"/>
      </w:pPr>
    </w:lvl>
    <w:lvl w:ilvl="2" w:tplc="97B6C2E4">
      <w:numFmt w:val="decimal"/>
      <w:lvlText w:val=""/>
      <w:lvlJc w:val="left"/>
    </w:lvl>
    <w:lvl w:ilvl="3" w:tplc="60561B6E">
      <w:numFmt w:val="decimal"/>
      <w:lvlText w:val=""/>
      <w:lvlJc w:val="left"/>
    </w:lvl>
    <w:lvl w:ilvl="4" w:tplc="C430DB9C">
      <w:numFmt w:val="decimal"/>
      <w:lvlText w:val=""/>
      <w:lvlJc w:val="left"/>
    </w:lvl>
    <w:lvl w:ilvl="5" w:tplc="89180634">
      <w:numFmt w:val="decimal"/>
      <w:lvlText w:val=""/>
      <w:lvlJc w:val="left"/>
    </w:lvl>
    <w:lvl w:ilvl="6" w:tplc="359C1E16">
      <w:numFmt w:val="decimal"/>
      <w:lvlText w:val=""/>
      <w:lvlJc w:val="left"/>
    </w:lvl>
    <w:lvl w:ilvl="7" w:tplc="8D883C1C">
      <w:numFmt w:val="decimal"/>
      <w:lvlText w:val=""/>
      <w:lvlJc w:val="left"/>
    </w:lvl>
    <w:lvl w:ilvl="8" w:tplc="7EE48120">
      <w:numFmt w:val="decimal"/>
      <w:lvlText w:val=""/>
      <w:lvlJc w:val="left"/>
    </w:lvl>
  </w:abstractNum>
  <w:abstractNum w:abstractNumId="1" w15:restartNumberingAfterBreak="0">
    <w:nsid w:val="1BCE6F0D"/>
    <w:multiLevelType w:val="hybridMultilevel"/>
    <w:tmpl w:val="12D83FEC"/>
    <w:lvl w:ilvl="0" w:tplc="BC4E8126">
      <w:start w:val="1"/>
      <w:numFmt w:val="bullet"/>
      <w:lvlText w:val="●"/>
      <w:lvlJc w:val="left"/>
      <w:pPr>
        <w:ind w:left="720" w:hanging="360"/>
      </w:pPr>
    </w:lvl>
    <w:lvl w:ilvl="1" w:tplc="1E6C5A66">
      <w:start w:val="1"/>
      <w:numFmt w:val="bullet"/>
      <w:lvlText w:val="○"/>
      <w:lvlJc w:val="left"/>
      <w:pPr>
        <w:ind w:left="1440" w:hanging="360"/>
      </w:pPr>
    </w:lvl>
    <w:lvl w:ilvl="2" w:tplc="5344D10A">
      <w:start w:val="1"/>
      <w:numFmt w:val="bullet"/>
      <w:lvlText w:val="■"/>
      <w:lvlJc w:val="left"/>
      <w:pPr>
        <w:ind w:left="2160" w:hanging="360"/>
      </w:pPr>
    </w:lvl>
    <w:lvl w:ilvl="3" w:tplc="2B445C2A">
      <w:start w:val="1"/>
      <w:numFmt w:val="bullet"/>
      <w:lvlText w:val="●"/>
      <w:lvlJc w:val="left"/>
      <w:pPr>
        <w:ind w:left="2880" w:hanging="360"/>
      </w:pPr>
    </w:lvl>
    <w:lvl w:ilvl="4" w:tplc="512A1212">
      <w:start w:val="1"/>
      <w:numFmt w:val="bullet"/>
      <w:lvlText w:val="○"/>
      <w:lvlJc w:val="left"/>
      <w:pPr>
        <w:ind w:left="3600" w:hanging="360"/>
      </w:pPr>
    </w:lvl>
    <w:lvl w:ilvl="5" w:tplc="79E0037A">
      <w:start w:val="1"/>
      <w:numFmt w:val="bullet"/>
      <w:lvlText w:val="■"/>
      <w:lvlJc w:val="left"/>
      <w:pPr>
        <w:ind w:left="4320" w:hanging="360"/>
      </w:pPr>
    </w:lvl>
    <w:lvl w:ilvl="6" w:tplc="B1BAA63A">
      <w:start w:val="1"/>
      <w:numFmt w:val="bullet"/>
      <w:lvlText w:val="●"/>
      <w:lvlJc w:val="left"/>
      <w:pPr>
        <w:ind w:left="5040" w:hanging="360"/>
      </w:pPr>
    </w:lvl>
    <w:lvl w:ilvl="7" w:tplc="903CF4DE">
      <w:start w:val="1"/>
      <w:numFmt w:val="bullet"/>
      <w:lvlText w:val="●"/>
      <w:lvlJc w:val="left"/>
      <w:pPr>
        <w:ind w:left="5760" w:hanging="360"/>
      </w:pPr>
    </w:lvl>
    <w:lvl w:ilvl="8" w:tplc="9B081BB8">
      <w:start w:val="1"/>
      <w:numFmt w:val="bullet"/>
      <w:lvlText w:val="●"/>
      <w:lvlJc w:val="left"/>
      <w:pPr>
        <w:ind w:left="6480" w:hanging="360"/>
      </w:pPr>
    </w:lvl>
  </w:abstractNum>
  <w:num w:numId="1" w16cid:durableId="210968981">
    <w:abstractNumId w:val="1"/>
    <w:lvlOverride w:ilvl="0">
      <w:startOverride w:val="1"/>
    </w:lvlOverride>
  </w:num>
  <w:num w:numId="2" w16cid:durableId="23155190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5D0"/>
    <w:rsid w:val="00061FFE"/>
    <w:rsid w:val="001D55D0"/>
    <w:rsid w:val="00337FD1"/>
    <w:rsid w:val="00381F0A"/>
    <w:rsid w:val="003F3DE1"/>
    <w:rsid w:val="00AC4056"/>
    <w:rsid w:val="00B2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7D2427"/>
  <w15:docId w15:val="{6F57D0E9-8EA7-B94F-BFCD-4F0BF7DD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6" w:color="1E2761"/>
      </w:pBdr>
      <w:spacing w:before="360" w:after="160"/>
      <w:outlineLvl w:val="0"/>
    </w:pPr>
    <w:rPr>
      <w:rFonts w:ascii="Cambria" w:eastAsia="Cambria" w:hAnsi="Cambria" w:cs="Cambria"/>
      <w:b/>
      <w:bCs/>
      <w:color w:val="1E2761"/>
      <w:sz w:val="30"/>
      <w:szCs w:val="30"/>
    </w:rPr>
  </w:style>
  <w:style w:type="paragraph" w:styleId="Heading2">
    <w:name w:val="heading 2"/>
    <w:uiPriority w:val="9"/>
    <w:unhideWhenUsed/>
    <w:qFormat/>
    <w:pPr>
      <w:keepNext/>
      <w:spacing w:before="220" w:after="110"/>
      <w:outlineLvl w:val="1"/>
    </w:pPr>
    <w:rPr>
      <w:rFonts w:ascii="Cambria" w:eastAsia="Cambria" w:hAnsi="Cambria" w:cs="Cambria"/>
      <w:b/>
      <w:bCs/>
      <w:color w:val="2D3748"/>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061FFE"/>
    <w:rPr>
      <w:b/>
      <w:bCs/>
    </w:rPr>
  </w:style>
  <w:style w:type="paragraph" w:customStyle="1" w:styleId="font-claude-response-body">
    <w:name w:val="font-claude-response-body"/>
    <w:basedOn w:val="Normal"/>
    <w:rsid w:val="00337FD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0ACA228F90FD4983D1860CA66AB718" ma:contentTypeVersion="20" ma:contentTypeDescription="Create a new document." ma:contentTypeScope="" ma:versionID="f5286a7d0ed621559058301519be24b7">
  <xsd:schema xmlns:xsd="http://www.w3.org/2001/XMLSchema" xmlns:xs="http://www.w3.org/2001/XMLSchema" xmlns:p="http://schemas.microsoft.com/office/2006/metadata/properties" xmlns:ns2="45c2fc36-f7c1-4065-83a2-27d50f9fe89a" xmlns:ns3="224c313a-1a45-4e92-8570-6bb52f260180" targetNamespace="http://schemas.microsoft.com/office/2006/metadata/properties" ma:root="true" ma:fieldsID="0a7e39574c793196d0df7755c4b846e5" ns2:_="" ns3:_="">
    <xsd:import namespace="45c2fc36-f7c1-4065-83a2-27d50f9fe89a"/>
    <xsd:import namespace="224c313a-1a45-4e92-8570-6bb52f2601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2fc36-f7c1-4065-83a2-27d50f9fe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2a4609-1092-47bf-951f-26d40dfbc0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c313a-1a45-4e92-8570-6bb52f2601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8a578-d7eb-4766-bf94-4fcaee59c729}" ma:internalName="TaxCatchAll" ma:showField="CatchAllData" ma:web="224c313a-1a45-4e92-8570-6bb52f2601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c2fc36-f7c1-4065-83a2-27d50f9fe89a">
      <Terms xmlns="http://schemas.microsoft.com/office/infopath/2007/PartnerControls"/>
    </lcf76f155ced4ddcb4097134ff3c332f>
    <TaxCatchAll xmlns="224c313a-1a45-4e92-8570-6bb52f260180" xsi:nil="true"/>
  </documentManagement>
</p:properties>
</file>

<file path=customXml/itemProps1.xml><?xml version="1.0" encoding="utf-8"?>
<ds:datastoreItem xmlns:ds="http://schemas.openxmlformats.org/officeDocument/2006/customXml" ds:itemID="{A281FB42-BFE9-41BB-88B3-82D9DC2B6397}"/>
</file>

<file path=customXml/itemProps2.xml><?xml version="1.0" encoding="utf-8"?>
<ds:datastoreItem xmlns:ds="http://schemas.openxmlformats.org/officeDocument/2006/customXml" ds:itemID="{0BDD8464-8794-4E30-B53E-771E68532F73}"/>
</file>

<file path=customXml/itemProps3.xml><?xml version="1.0" encoding="utf-8"?>
<ds:datastoreItem xmlns:ds="http://schemas.openxmlformats.org/officeDocument/2006/customXml" ds:itemID="{BD4DC800-1A69-4535-8FBA-3A321EAE7DE7}"/>
</file>

<file path=docProps/app.xml><?xml version="1.0" encoding="utf-8"?>
<Properties xmlns="http://schemas.openxmlformats.org/officeDocument/2006/extended-properties" xmlns:vt="http://schemas.openxmlformats.org/officeDocument/2006/docPropsVTypes">
  <Template>Normal.dotm</Template>
  <TotalTime>11</TotalTime>
  <Pages>16</Pages>
  <Words>7173</Words>
  <Characters>38018</Characters>
  <Application>Microsoft Office Word</Application>
  <DocSecurity>0</DocSecurity>
  <Lines>520</Lines>
  <Paragraphs>193</Paragraphs>
  <ScaleCrop>false</ScaleCrop>
  <HeadingPairs>
    <vt:vector size="2" baseType="variant">
      <vt:variant>
        <vt:lpstr>Title</vt:lpstr>
      </vt:variant>
      <vt:variant>
        <vt:i4>1</vt:i4>
      </vt:variant>
    </vt:vector>
  </HeadingPairs>
  <TitlesOfParts>
    <vt:vector size="1" baseType="lpstr">
      <vt:lpstr>Using Technology to Create a Persuasive and Compelling Story for All Jurors</vt:lpstr>
    </vt:vector>
  </TitlesOfParts>
  <Company/>
  <LinksUpToDate>false</LinksUpToDate>
  <CharactersWithSpaces>44998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Technology to Create a Persuasive and Compelling Story for All Jurors</dc:title>
  <dc:creator>Tad Thomas</dc:creator>
  <cp:lastModifiedBy>Tad Thomas</cp:lastModifiedBy>
  <cp:revision>4</cp:revision>
  <dcterms:created xsi:type="dcterms:W3CDTF">2026-06-22T20:40:00Z</dcterms:created>
  <dcterms:modified xsi:type="dcterms:W3CDTF">2026-06-22T22:07:00Z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0x0101001A0ACA228F90FD4983D1860CA66AB718</vt:lpwstr>
  </property>
</Properties>
</file>